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421"/>
      </w:tblGrid>
      <w:tr w:rsidR="006A59FA" w:rsidRPr="00C42AA1" w:rsidTr="00EF31F7">
        <w:trPr>
          <w:jc w:val="center"/>
        </w:trPr>
        <w:tc>
          <w:tcPr>
            <w:tcW w:w="4733" w:type="dxa"/>
          </w:tcPr>
          <w:p w:rsidR="006A59FA" w:rsidRPr="003513D9" w:rsidRDefault="006A59FA" w:rsidP="003513D9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3513D9">
              <w:tab/>
            </w:r>
            <w:r w:rsidRPr="003513D9">
              <w:tab/>
            </w:r>
            <w:r w:rsidRPr="003513D9">
              <w:tab/>
            </w:r>
            <w:r w:rsidRPr="003513D9">
              <w:tab/>
            </w:r>
            <w:r w:rsidRPr="003513D9">
              <w:tab/>
            </w:r>
            <w:r w:rsidRPr="003513D9">
              <w:tab/>
            </w:r>
          </w:p>
        </w:tc>
        <w:tc>
          <w:tcPr>
            <w:tcW w:w="6068" w:type="dxa"/>
          </w:tcPr>
          <w:p w:rsidR="006A59FA" w:rsidRPr="00C42AA1" w:rsidRDefault="006A59FA" w:rsidP="003513D9">
            <w:pPr>
              <w:jc w:val="center"/>
            </w:pPr>
            <w:r w:rsidRPr="00C42AA1">
              <w:t>УТВЕРЖДЕНО</w:t>
            </w:r>
          </w:p>
          <w:p w:rsidR="006C5C9D" w:rsidRPr="00A86F54" w:rsidRDefault="006A59FA" w:rsidP="00D059A4">
            <w:pPr>
              <w:jc w:val="center"/>
            </w:pPr>
            <w:r w:rsidRPr="00C42AA1">
              <w:t xml:space="preserve">решением Бюро Совета  Программы «Научный фонд НИУ ВШЭ» </w:t>
            </w:r>
          </w:p>
          <w:p w:rsidR="000B20DB" w:rsidRPr="0067685D" w:rsidRDefault="000B20DB" w:rsidP="000B20DB">
            <w:pPr>
              <w:jc w:val="center"/>
              <w:rPr>
                <w:lang w:val="en-US"/>
              </w:rPr>
            </w:pPr>
            <w:r>
              <w:t>от</w:t>
            </w:r>
            <w:r w:rsidR="00D059A4">
              <w:t xml:space="preserve"> </w:t>
            </w:r>
            <w:r w:rsidR="0067685D">
              <w:rPr>
                <w:lang w:val="en-US"/>
              </w:rPr>
              <w:t>15.02.</w:t>
            </w:r>
            <w:r w:rsidR="00D059A4">
              <w:t>2016</w:t>
            </w:r>
            <w:r>
              <w:t xml:space="preserve">, протокол № </w:t>
            </w:r>
            <w:r w:rsidR="0067685D">
              <w:rPr>
                <w:lang w:val="en-US"/>
              </w:rPr>
              <w:t>58</w:t>
            </w:r>
            <w:bookmarkStart w:id="0" w:name="_GoBack"/>
            <w:bookmarkEnd w:id="0"/>
          </w:p>
          <w:p w:rsidR="006C5C9D" w:rsidRPr="00C42AA1" w:rsidRDefault="006C5C9D" w:rsidP="003513D9">
            <w:pPr>
              <w:jc w:val="center"/>
            </w:pPr>
          </w:p>
        </w:tc>
      </w:tr>
    </w:tbl>
    <w:p w:rsidR="00BC70A3" w:rsidRPr="00C42AA1" w:rsidRDefault="00A961C9" w:rsidP="003513D9">
      <w:pPr>
        <w:shd w:val="clear" w:color="auto" w:fill="FFFFFF"/>
        <w:jc w:val="center"/>
        <w:rPr>
          <w:b/>
          <w:bCs/>
        </w:rPr>
      </w:pPr>
      <w:r w:rsidRPr="00C42AA1">
        <w:rPr>
          <w:b/>
          <w:bCs/>
        </w:rPr>
        <w:t xml:space="preserve">Положение </w:t>
      </w:r>
      <w:r w:rsidR="00BC70A3" w:rsidRPr="00C42AA1">
        <w:rPr>
          <w:b/>
          <w:bCs/>
        </w:rPr>
        <w:t xml:space="preserve">о конкурсе Программы «Научный фонд НИУ ВШЭ» на поддержку участия </w:t>
      </w:r>
      <w:r w:rsidR="00DB17BF">
        <w:rPr>
          <w:b/>
          <w:bCs/>
        </w:rPr>
        <w:t>работников</w:t>
      </w:r>
      <w:r w:rsidR="00743E97" w:rsidRPr="00C42AA1">
        <w:rPr>
          <w:b/>
          <w:bCs/>
        </w:rPr>
        <w:t>,</w:t>
      </w:r>
      <w:r w:rsidR="00BC70A3" w:rsidRPr="00C42AA1">
        <w:rPr>
          <w:b/>
          <w:bCs/>
        </w:rPr>
        <w:t xml:space="preserve"> аспирантов</w:t>
      </w:r>
      <w:r w:rsidR="0060772C">
        <w:rPr>
          <w:b/>
          <w:bCs/>
        </w:rPr>
        <w:t xml:space="preserve"> и </w:t>
      </w:r>
      <w:r w:rsidR="00BC70A3" w:rsidRPr="00C42AA1">
        <w:rPr>
          <w:b/>
          <w:bCs/>
        </w:rPr>
        <w:t>студентов НИУ ВШЭ и филиалов НИУ ВШЭ в научных мероприятиях</w:t>
      </w:r>
    </w:p>
    <w:p w:rsidR="00C61C62" w:rsidRDefault="00C61C62" w:rsidP="003513D9">
      <w:pPr>
        <w:shd w:val="clear" w:color="auto" w:fill="FFFFFF"/>
        <w:rPr>
          <w:b/>
          <w:bCs/>
        </w:rPr>
      </w:pPr>
    </w:p>
    <w:p w:rsidR="00A961C9" w:rsidRPr="00957A1E" w:rsidRDefault="00A961C9" w:rsidP="00171D60">
      <w:pPr>
        <w:shd w:val="clear" w:color="auto" w:fill="FFFFFF"/>
        <w:ind w:firstLine="708"/>
        <w:jc w:val="center"/>
      </w:pPr>
      <w:r w:rsidRPr="00957A1E">
        <w:rPr>
          <w:b/>
          <w:bCs/>
        </w:rPr>
        <w:t>1. ОБЩИЕ ПОЛОЖЕНИЯ</w:t>
      </w:r>
    </w:p>
    <w:p w:rsidR="001024EB" w:rsidRPr="00171D60" w:rsidRDefault="00A961C9" w:rsidP="003513D9">
      <w:pPr>
        <w:shd w:val="clear" w:color="auto" w:fill="FFFFFF"/>
        <w:jc w:val="both"/>
      </w:pPr>
      <w:r w:rsidRPr="00171D60">
        <w:t> </w:t>
      </w:r>
    </w:p>
    <w:p w:rsidR="008730AB" w:rsidRDefault="00A961C9" w:rsidP="00171D60">
      <w:pPr>
        <w:shd w:val="clear" w:color="auto" w:fill="FFFFFF"/>
        <w:spacing w:after="120"/>
        <w:ind w:firstLine="708"/>
        <w:jc w:val="both"/>
      </w:pPr>
      <w:r w:rsidRPr="00171D60">
        <w:rPr>
          <w:bCs/>
        </w:rPr>
        <w:t>1.1.      </w:t>
      </w:r>
      <w:r w:rsidRPr="00957A1E">
        <w:rPr>
          <w:bCs/>
        </w:rPr>
        <w:t> </w:t>
      </w:r>
      <w:proofErr w:type="gramStart"/>
      <w:r w:rsidR="002C0096" w:rsidRPr="00957A1E">
        <w:rPr>
          <w:bCs/>
        </w:rPr>
        <w:t xml:space="preserve">Настоящее Положение </w:t>
      </w:r>
      <w:r w:rsidR="002876C3" w:rsidRPr="00171D60">
        <w:rPr>
          <w:bCs/>
        </w:rPr>
        <w:t xml:space="preserve">о конкурсе Программы «Научный фонд НИУ ВШЭ» (далее – Фонд) на поддержку участия </w:t>
      </w:r>
      <w:r w:rsidR="00DB17BF" w:rsidRPr="00171D60">
        <w:rPr>
          <w:bCs/>
        </w:rPr>
        <w:t>работников</w:t>
      </w:r>
      <w:r w:rsidR="002876C3" w:rsidRPr="00171D60">
        <w:rPr>
          <w:bCs/>
        </w:rPr>
        <w:t>, аспирантов, студентов НИУ ВШЭ и филиалов НИУ ВШЭ в научных мероприятиях</w:t>
      </w:r>
      <w:r w:rsidR="002C0096" w:rsidRPr="00171D60">
        <w:t xml:space="preserve"> </w:t>
      </w:r>
      <w:r w:rsidR="002C0096" w:rsidRPr="00171D60">
        <w:rPr>
          <w:bCs/>
        </w:rPr>
        <w:t>(далее</w:t>
      </w:r>
      <w:r w:rsidR="000F2227" w:rsidRPr="00171D60">
        <w:rPr>
          <w:bCs/>
        </w:rPr>
        <w:t xml:space="preserve"> </w:t>
      </w:r>
      <w:r w:rsidR="002C0096" w:rsidRPr="00171D60">
        <w:rPr>
          <w:bCs/>
        </w:rPr>
        <w:t xml:space="preserve">– Положение) </w:t>
      </w:r>
      <w:r w:rsidR="0039682B" w:rsidRPr="00171D60">
        <w:rPr>
          <w:bCs/>
        </w:rPr>
        <w:t xml:space="preserve">регулирует порядок и процедуру принятия решения о финансовой поддержке участия </w:t>
      </w:r>
      <w:r w:rsidR="008730AB" w:rsidRPr="00171D60">
        <w:t>в научных мероприятиях в Российской Федерации, странах Содружества Независимых Государств (далее - СНГ) и за рубежом</w:t>
      </w:r>
      <w:r w:rsidR="0039682B" w:rsidRPr="00171D60">
        <w:t xml:space="preserve"> </w:t>
      </w:r>
      <w:r w:rsidR="0060772C" w:rsidRPr="00171D60">
        <w:rPr>
          <w:bCs/>
        </w:rPr>
        <w:t>работников</w:t>
      </w:r>
      <w:r w:rsidR="00743E97" w:rsidRPr="00171D60">
        <w:rPr>
          <w:bCs/>
        </w:rPr>
        <w:t xml:space="preserve">, </w:t>
      </w:r>
      <w:r w:rsidR="0039682B" w:rsidRPr="00171D60">
        <w:rPr>
          <w:bCs/>
        </w:rPr>
        <w:t xml:space="preserve">аспирантов, студентов НИУ ВШЭ </w:t>
      </w:r>
      <w:r w:rsidR="00957A1E">
        <w:rPr>
          <w:bCs/>
        </w:rPr>
        <w:t>за счет</w:t>
      </w:r>
      <w:proofErr w:type="gramEnd"/>
      <w:r w:rsidR="00957A1E">
        <w:rPr>
          <w:bCs/>
        </w:rPr>
        <w:t xml:space="preserve"> средств Фонда</w:t>
      </w:r>
      <w:r w:rsidR="008730AB" w:rsidRPr="00171D60">
        <w:t xml:space="preserve">. </w:t>
      </w:r>
    </w:p>
    <w:p w:rsidR="00687748" w:rsidRPr="00347E53" w:rsidRDefault="00957A1E" w:rsidP="002B2928">
      <w:pPr>
        <w:ind w:firstLine="708"/>
        <w:contextualSpacing/>
        <w:jc w:val="both"/>
      </w:pPr>
      <w:r>
        <w:t xml:space="preserve">1.2. Настоящее Положение действует в соответствии с Регламентом </w:t>
      </w:r>
      <w:r w:rsidRPr="00957A1E">
        <w:t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  <w:r w:rsidR="00171D60">
        <w:t xml:space="preserve">, утвержденного приказом НИУ ВШЭ </w:t>
      </w:r>
      <w:r w:rsidR="00687748" w:rsidRPr="00AD7F7C">
        <w:rPr>
          <w:sz w:val="26"/>
          <w:szCs w:val="26"/>
        </w:rPr>
        <w:t xml:space="preserve">№ </w:t>
      </w:r>
      <w:r w:rsidR="00D059A4" w:rsidRPr="00D059A4">
        <w:t xml:space="preserve">6.18.1-01/1102-12 </w:t>
      </w:r>
      <w:r w:rsidR="00687748" w:rsidRPr="00347E53">
        <w:t xml:space="preserve">от </w:t>
      </w:r>
      <w:r w:rsidR="00D059A4" w:rsidRPr="00D059A4">
        <w:t>11.02.2016</w:t>
      </w:r>
      <w:r w:rsidR="00D059A4">
        <w:t>.</w:t>
      </w:r>
    </w:p>
    <w:p w:rsidR="002C0096" w:rsidRPr="00171D60" w:rsidRDefault="00957A1E" w:rsidP="00AD7F7C">
      <w:pPr>
        <w:shd w:val="clear" w:color="auto" w:fill="FFFFFF"/>
        <w:spacing w:after="120"/>
        <w:ind w:firstLine="708"/>
        <w:jc w:val="both"/>
      </w:pPr>
      <w:r>
        <w:t xml:space="preserve"> </w:t>
      </w:r>
      <w:r w:rsidR="00765B59">
        <w:t>1</w:t>
      </w:r>
      <w:r w:rsidR="002C0096" w:rsidRPr="00171D60">
        <w:t>.</w:t>
      </w:r>
      <w:r>
        <w:t>3</w:t>
      </w:r>
      <w:r w:rsidR="002C0096" w:rsidRPr="00171D60">
        <w:t>.</w:t>
      </w:r>
      <w:r w:rsidR="002C0096" w:rsidRPr="00957A1E">
        <w:t xml:space="preserve"> Основные </w:t>
      </w:r>
      <w:r w:rsidR="002876C3" w:rsidRPr="00957A1E">
        <w:t>цели конкурса</w:t>
      </w:r>
      <w:r w:rsidR="002C0096" w:rsidRPr="00171D60">
        <w:t>:</w:t>
      </w:r>
    </w:p>
    <w:p w:rsidR="002876C3" w:rsidRPr="00171D60" w:rsidRDefault="0060772C" w:rsidP="00171D60">
      <w:pPr>
        <w:shd w:val="clear" w:color="auto" w:fill="FFFFFF"/>
        <w:tabs>
          <w:tab w:val="num" w:pos="0"/>
        </w:tabs>
        <w:spacing w:after="120"/>
        <w:jc w:val="both"/>
        <w:rPr>
          <w:bCs/>
        </w:rPr>
      </w:pPr>
      <w:r w:rsidRPr="00171D60">
        <w:tab/>
      </w:r>
      <w:r w:rsidR="002C0096" w:rsidRPr="00171D60">
        <w:t>1.</w:t>
      </w:r>
      <w:r w:rsidR="00957A1E">
        <w:t>3</w:t>
      </w:r>
      <w:r w:rsidR="002C0096" w:rsidRPr="00171D60">
        <w:t xml:space="preserve">.1. </w:t>
      </w:r>
      <w:r w:rsidR="002876C3" w:rsidRPr="00171D60">
        <w:t xml:space="preserve">Поддержка </w:t>
      </w:r>
      <w:r w:rsidR="00161CC3" w:rsidRPr="00171D60">
        <w:t>поезд</w:t>
      </w:r>
      <w:r w:rsidR="002876C3" w:rsidRPr="00171D60">
        <w:t>о</w:t>
      </w:r>
      <w:r w:rsidR="00161CC3" w:rsidRPr="00171D60">
        <w:t xml:space="preserve">к на </w:t>
      </w:r>
      <w:r w:rsidR="002876C3" w:rsidRPr="00171D60">
        <w:t xml:space="preserve">научные </w:t>
      </w:r>
      <w:r w:rsidR="00161CC3" w:rsidRPr="00171D60">
        <w:t>мероприятия для выступления с доклад</w:t>
      </w:r>
      <w:r w:rsidR="007578F3" w:rsidRPr="00171D60">
        <w:t>ами</w:t>
      </w:r>
      <w:r w:rsidR="00161CC3" w:rsidRPr="00171D60">
        <w:t>, носящим</w:t>
      </w:r>
      <w:r w:rsidR="007578F3" w:rsidRPr="00171D60">
        <w:t>и</w:t>
      </w:r>
      <w:r w:rsidR="00161CC3" w:rsidRPr="00171D60">
        <w:t xml:space="preserve"> характер </w:t>
      </w:r>
      <w:r w:rsidR="00161CC3" w:rsidRPr="00171D60">
        <w:rPr>
          <w:bCs/>
        </w:rPr>
        <w:t>академического научного исследования</w:t>
      </w:r>
      <w:r w:rsidR="002876C3" w:rsidRPr="00171D60">
        <w:rPr>
          <w:bCs/>
        </w:rPr>
        <w:t>.</w:t>
      </w:r>
    </w:p>
    <w:p w:rsidR="002876C3" w:rsidRPr="00171D60" w:rsidRDefault="0060772C" w:rsidP="00171D60">
      <w:pPr>
        <w:shd w:val="clear" w:color="auto" w:fill="FFFFFF"/>
        <w:tabs>
          <w:tab w:val="num" w:pos="0"/>
        </w:tabs>
        <w:spacing w:after="120"/>
        <w:jc w:val="both"/>
        <w:rPr>
          <w:bCs/>
        </w:rPr>
      </w:pPr>
      <w:r w:rsidRPr="00171D60">
        <w:rPr>
          <w:bCs/>
        </w:rPr>
        <w:tab/>
      </w:r>
      <w:r w:rsidR="002876C3" w:rsidRPr="00171D60">
        <w:rPr>
          <w:bCs/>
        </w:rPr>
        <w:t>1.</w:t>
      </w:r>
      <w:r w:rsidR="00957A1E">
        <w:rPr>
          <w:bCs/>
        </w:rPr>
        <w:t>3</w:t>
      </w:r>
      <w:r w:rsidR="002876C3" w:rsidRPr="00171D60">
        <w:rPr>
          <w:bCs/>
        </w:rPr>
        <w:t xml:space="preserve">.2. </w:t>
      </w:r>
      <w:r w:rsidR="00FF452A" w:rsidRPr="00171D60">
        <w:rPr>
          <w:bCs/>
        </w:rPr>
        <w:t>Повышение престижа НИУ ВШЭ в мировом научном сообществе.</w:t>
      </w:r>
    </w:p>
    <w:p w:rsidR="00FF452A" w:rsidRPr="00171D60" w:rsidRDefault="0060772C" w:rsidP="00171D60">
      <w:pPr>
        <w:shd w:val="clear" w:color="auto" w:fill="FFFFFF"/>
        <w:tabs>
          <w:tab w:val="num" w:pos="0"/>
        </w:tabs>
        <w:spacing w:after="120"/>
        <w:jc w:val="both"/>
        <w:rPr>
          <w:bCs/>
        </w:rPr>
      </w:pPr>
      <w:r w:rsidRPr="00171D60">
        <w:rPr>
          <w:bCs/>
        </w:rPr>
        <w:tab/>
      </w:r>
      <w:r w:rsidR="00FF452A" w:rsidRPr="00171D60">
        <w:rPr>
          <w:bCs/>
        </w:rPr>
        <w:t>1.</w:t>
      </w:r>
      <w:r w:rsidR="00957A1E">
        <w:rPr>
          <w:bCs/>
        </w:rPr>
        <w:t>3</w:t>
      </w:r>
      <w:r w:rsidR="00FF452A" w:rsidRPr="00171D60">
        <w:rPr>
          <w:bCs/>
        </w:rPr>
        <w:t>.3. Интеграция молодых ученых в мировое научное сообщество.</w:t>
      </w:r>
    </w:p>
    <w:p w:rsidR="00161CC3" w:rsidRPr="00171D60" w:rsidRDefault="0060772C" w:rsidP="00171D60">
      <w:pPr>
        <w:shd w:val="clear" w:color="auto" w:fill="FFFFFF"/>
        <w:tabs>
          <w:tab w:val="num" w:pos="0"/>
        </w:tabs>
        <w:spacing w:after="120"/>
        <w:jc w:val="both"/>
      </w:pPr>
      <w:r w:rsidRPr="00171D60">
        <w:tab/>
      </w:r>
      <w:r w:rsidR="00E02052" w:rsidRPr="00171D60">
        <w:t>1.</w:t>
      </w:r>
      <w:r w:rsidR="00957A1E">
        <w:t>4</w:t>
      </w:r>
      <w:r w:rsidR="00E02052" w:rsidRPr="00171D60">
        <w:t>.</w:t>
      </w:r>
      <w:r w:rsidR="00E02052" w:rsidRPr="00957A1E">
        <w:t xml:space="preserve"> </w:t>
      </w:r>
      <w:r w:rsidR="0059635B" w:rsidRPr="00957A1E">
        <w:t>Под н</w:t>
      </w:r>
      <w:r w:rsidR="00161CC3" w:rsidRPr="00171D60">
        <w:t>аучн</w:t>
      </w:r>
      <w:r w:rsidR="0059635B" w:rsidRPr="00171D60">
        <w:t>ым</w:t>
      </w:r>
      <w:r w:rsidR="00161CC3" w:rsidRPr="00171D60">
        <w:t xml:space="preserve"> мероприятие</w:t>
      </w:r>
      <w:r w:rsidR="0059635B" w:rsidRPr="00171D60">
        <w:t>м в настоящем Положении</w:t>
      </w:r>
      <w:r w:rsidR="00161CC3" w:rsidRPr="00171D60">
        <w:t xml:space="preserve"> </w:t>
      </w:r>
      <w:r w:rsidR="0059635B" w:rsidRPr="00171D60">
        <w:t xml:space="preserve">понимается </w:t>
      </w:r>
      <w:r w:rsidR="00161CC3" w:rsidRPr="00171D60">
        <w:t>мероприятие</w:t>
      </w:r>
      <w:r w:rsidR="0059635B" w:rsidRPr="00171D60">
        <w:t xml:space="preserve"> (конференция, конгресс и т.д.)</w:t>
      </w:r>
      <w:r w:rsidR="00161CC3" w:rsidRPr="00171D60">
        <w:t>,</w:t>
      </w:r>
      <w:r w:rsidR="007578F3" w:rsidRPr="00171D60">
        <w:t xml:space="preserve"> организованное внешними по отношению к НИУ ВШЭ </w:t>
      </w:r>
      <w:proofErr w:type="gramStart"/>
      <w:r w:rsidR="007578F3" w:rsidRPr="00171D60">
        <w:t>организациями</w:t>
      </w:r>
      <w:proofErr w:type="gramEnd"/>
      <w:r w:rsidR="00DB17BF" w:rsidRPr="00171D60">
        <w:t xml:space="preserve"> или в </w:t>
      </w:r>
      <w:proofErr w:type="gramStart"/>
      <w:r w:rsidR="00DB17BF" w:rsidRPr="00171D60">
        <w:t>которых</w:t>
      </w:r>
      <w:proofErr w:type="gramEnd"/>
      <w:r w:rsidR="00DB17BF" w:rsidRPr="00171D60">
        <w:t xml:space="preserve"> НИУ ВШЭ является </w:t>
      </w:r>
      <w:proofErr w:type="spellStart"/>
      <w:r w:rsidR="00DB17BF" w:rsidRPr="00171D60">
        <w:t>соорганизатором</w:t>
      </w:r>
      <w:proofErr w:type="spellEnd"/>
      <w:r w:rsidR="00DB17BF" w:rsidRPr="00171D60">
        <w:t xml:space="preserve"> мероприятия без его финансирования</w:t>
      </w:r>
      <w:r w:rsidR="007578F3" w:rsidRPr="00171D60">
        <w:t>,</w:t>
      </w:r>
      <w:r w:rsidR="00161CC3" w:rsidRPr="00171D60">
        <w:t xml:space="preserve"> носящее академический характер, отраж</w:t>
      </w:r>
      <w:r w:rsidR="00E02052" w:rsidRPr="00171D60">
        <w:t>енный</w:t>
      </w:r>
      <w:r w:rsidR="00161CC3" w:rsidRPr="00171D60">
        <w:t xml:space="preserve"> в</w:t>
      </w:r>
      <w:r w:rsidR="009D3CE4" w:rsidRPr="00171D60">
        <w:t xml:space="preserve"> полной</w:t>
      </w:r>
      <w:r w:rsidR="00161CC3" w:rsidRPr="00171D60">
        <w:t xml:space="preserve"> программе мероприятия</w:t>
      </w:r>
      <w:r w:rsidR="009D3CE4" w:rsidRPr="00171D60">
        <w:t xml:space="preserve"> и информации, представленной на сайте мероприятия (организатора мероприятия)</w:t>
      </w:r>
      <w:r w:rsidR="00161CC3" w:rsidRPr="00171D60">
        <w:t xml:space="preserve">. </w:t>
      </w:r>
    </w:p>
    <w:p w:rsidR="0059635B" w:rsidRPr="00171D60" w:rsidRDefault="0059635B" w:rsidP="00171D60">
      <w:pPr>
        <w:shd w:val="clear" w:color="auto" w:fill="FFFFFF"/>
        <w:spacing w:after="120"/>
        <w:ind w:firstLine="708"/>
        <w:jc w:val="both"/>
      </w:pPr>
      <w:r w:rsidRPr="00171D60">
        <w:t>1.</w:t>
      </w:r>
      <w:r w:rsidR="00957A1E">
        <w:t>5</w:t>
      </w:r>
      <w:r w:rsidRPr="00171D60">
        <w:t>.</w:t>
      </w:r>
      <w:r w:rsidRPr="00957A1E">
        <w:t xml:space="preserve"> Заявки на </w:t>
      </w:r>
      <w:proofErr w:type="gramStart"/>
      <w:r w:rsidRPr="00957A1E">
        <w:t>бизнес-конференции</w:t>
      </w:r>
      <w:proofErr w:type="gramEnd"/>
      <w:r w:rsidRPr="00957A1E">
        <w:t xml:space="preserve">, </w:t>
      </w:r>
      <w:r w:rsidRPr="00171D60">
        <w:t>круглые столы, методические семинары, студенческие конференции, летние и зимние школы, стажировки, мероприятия по повышению квалификации и т.п. не принимаются.</w:t>
      </w:r>
    </w:p>
    <w:p w:rsidR="00E02052" w:rsidRPr="00171D60" w:rsidRDefault="00E02052" w:rsidP="00171D60">
      <w:pPr>
        <w:shd w:val="clear" w:color="auto" w:fill="FFFFFF"/>
        <w:spacing w:after="120"/>
        <w:ind w:firstLine="708"/>
        <w:jc w:val="both"/>
      </w:pPr>
      <w:r w:rsidRPr="00171D60">
        <w:t>1.</w:t>
      </w:r>
      <w:r w:rsidR="00957A1E">
        <w:t>6</w:t>
      </w:r>
      <w:r w:rsidRPr="00957A1E">
        <w:t>. Заявки на выступление с постером принимаются только от студентов, аспирантов и младшего научно-преподавательского состава (ассистентов, стажеров-исследователей и преп</w:t>
      </w:r>
      <w:r w:rsidRPr="00171D60">
        <w:t>одавателей).</w:t>
      </w:r>
    </w:p>
    <w:p w:rsidR="00FF452A" w:rsidRPr="00171D60" w:rsidRDefault="00A961C9" w:rsidP="003513D9">
      <w:pPr>
        <w:shd w:val="clear" w:color="auto" w:fill="FFFFFF"/>
        <w:jc w:val="both"/>
      </w:pPr>
      <w:r w:rsidRPr="00171D60">
        <w:t> </w:t>
      </w:r>
    </w:p>
    <w:p w:rsidR="00171D60" w:rsidRDefault="00171D60" w:rsidP="00171D60">
      <w:pPr>
        <w:shd w:val="clear" w:color="auto" w:fill="FFFFFF"/>
        <w:ind w:firstLine="708"/>
        <w:jc w:val="center"/>
        <w:rPr>
          <w:b/>
          <w:bCs/>
        </w:rPr>
      </w:pPr>
    </w:p>
    <w:p w:rsidR="00970677" w:rsidRPr="00171D60" w:rsidRDefault="00970677" w:rsidP="00171D60">
      <w:pPr>
        <w:shd w:val="clear" w:color="auto" w:fill="FFFFFF"/>
        <w:ind w:firstLine="708"/>
        <w:jc w:val="center"/>
        <w:rPr>
          <w:b/>
          <w:bCs/>
          <w:lang w:val="x-none"/>
        </w:rPr>
      </w:pPr>
      <w:r w:rsidRPr="00171D60">
        <w:rPr>
          <w:b/>
          <w:bCs/>
          <w:lang w:val="x-none"/>
        </w:rPr>
        <w:t>2. ТЕМАТИКА КОНКУРСА</w:t>
      </w:r>
    </w:p>
    <w:p w:rsidR="00FF452A" w:rsidRPr="00171D60" w:rsidRDefault="00FF452A" w:rsidP="003513D9">
      <w:pPr>
        <w:shd w:val="clear" w:color="auto" w:fill="FFFFFF"/>
        <w:jc w:val="both"/>
      </w:pPr>
    </w:p>
    <w:p w:rsidR="00266EC0" w:rsidRPr="002B2928" w:rsidRDefault="00970677" w:rsidP="00171D60">
      <w:pPr>
        <w:shd w:val="clear" w:color="auto" w:fill="FFFFFF"/>
        <w:ind w:firstLine="708"/>
        <w:jc w:val="both"/>
      </w:pPr>
      <w:r w:rsidRPr="00171D60">
        <w:t>2.1. Заявки принимаются по следующим академическим направлениям:</w:t>
      </w:r>
    </w:p>
    <w:p w:rsidR="00970677" w:rsidRPr="00171D60" w:rsidRDefault="00970677" w:rsidP="00171D60">
      <w:pPr>
        <w:shd w:val="clear" w:color="auto" w:fill="FFFFFF"/>
        <w:ind w:firstLine="708"/>
        <w:jc w:val="both"/>
      </w:pPr>
      <w:r w:rsidRPr="00171D60">
        <w:t xml:space="preserve"> </w:t>
      </w:r>
    </w:p>
    <w:p w:rsidR="00304009" w:rsidRPr="00171D60" w:rsidRDefault="00304009" w:rsidP="003513D9">
      <w:pPr>
        <w:numPr>
          <w:ilvl w:val="0"/>
          <w:numId w:val="8"/>
        </w:numPr>
        <w:shd w:val="clear" w:color="auto" w:fill="FFFFFF"/>
        <w:sectPr w:rsidR="00304009" w:rsidRPr="00171D60" w:rsidSect="00CD24E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118"/>
      </w:tblGrid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pStyle w:val="ad"/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</w:tabs>
              <w:ind w:left="479" w:hanging="284"/>
              <w:jc w:val="both"/>
            </w:pPr>
            <w:r w:rsidRPr="0080573C">
              <w:lastRenderedPageBreak/>
              <w:t>Государственное и муниципальное управление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</w:tabs>
              <w:ind w:left="423" w:hanging="283"/>
              <w:jc w:val="both"/>
            </w:pPr>
            <w:r w:rsidRPr="0080573C">
              <w:t>Информатика и компьютерные науки</w:t>
            </w:r>
          </w:p>
        </w:tc>
      </w:tr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</w:tabs>
              <w:ind w:hanging="1233"/>
              <w:jc w:val="both"/>
              <w:rPr>
                <w:b/>
                <w:bCs/>
              </w:rPr>
            </w:pPr>
            <w:r w:rsidRPr="0080573C">
              <w:t>История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</w:tabs>
              <w:ind w:left="423" w:hanging="283"/>
              <w:jc w:val="both"/>
              <w:rPr>
                <w:b/>
                <w:bCs/>
              </w:rPr>
            </w:pPr>
            <w:r w:rsidRPr="0080573C">
              <w:t>Культурология</w:t>
            </w:r>
          </w:p>
        </w:tc>
      </w:tr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  <w:tab w:val="num" w:pos="1080"/>
              </w:tabs>
              <w:ind w:hanging="1233"/>
              <w:jc w:val="both"/>
            </w:pPr>
            <w:r w:rsidRPr="0080573C">
              <w:t>Лингвистика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  <w:tab w:val="num" w:pos="1080"/>
              </w:tabs>
              <w:ind w:left="423" w:hanging="283"/>
              <w:jc w:val="both"/>
            </w:pPr>
            <w:r w:rsidRPr="0080573C">
              <w:t>Математика</w:t>
            </w:r>
          </w:p>
        </w:tc>
      </w:tr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  <w:tab w:val="num" w:pos="1080"/>
              </w:tabs>
              <w:ind w:hanging="1233"/>
              <w:jc w:val="both"/>
            </w:pPr>
            <w:r w:rsidRPr="0080573C">
              <w:t xml:space="preserve">Менеджмент 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  <w:tab w:val="num" w:pos="1080"/>
              </w:tabs>
              <w:ind w:left="423" w:hanging="283"/>
              <w:jc w:val="both"/>
            </w:pPr>
            <w:r w:rsidRPr="0080573C">
              <w:t>Политология</w:t>
            </w:r>
          </w:p>
        </w:tc>
      </w:tr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  <w:tab w:val="num" w:pos="1080"/>
              </w:tabs>
              <w:ind w:hanging="1233"/>
              <w:jc w:val="both"/>
            </w:pPr>
            <w:r w:rsidRPr="0080573C">
              <w:lastRenderedPageBreak/>
              <w:t>Право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  <w:tab w:val="num" w:pos="1080"/>
              </w:tabs>
              <w:ind w:left="423" w:hanging="283"/>
              <w:jc w:val="both"/>
            </w:pPr>
            <w:r w:rsidRPr="0080573C">
              <w:t>Прикладная математика</w:t>
            </w:r>
          </w:p>
        </w:tc>
      </w:tr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  <w:tab w:val="num" w:pos="1080"/>
              </w:tabs>
              <w:ind w:hanging="1233"/>
              <w:jc w:val="both"/>
            </w:pPr>
            <w:r w:rsidRPr="0080573C">
              <w:t>Психология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  <w:tab w:val="num" w:pos="1080"/>
              </w:tabs>
              <w:ind w:left="423" w:hanging="283"/>
              <w:jc w:val="both"/>
            </w:pPr>
            <w:r w:rsidRPr="0080573C">
              <w:t>Социология</w:t>
            </w:r>
          </w:p>
        </w:tc>
      </w:tr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  <w:tab w:val="num" w:pos="1080"/>
              </w:tabs>
              <w:ind w:hanging="1233"/>
              <w:jc w:val="both"/>
              <w:rPr>
                <w:b/>
                <w:bCs/>
              </w:rPr>
            </w:pPr>
            <w:r w:rsidRPr="0080573C">
              <w:t>Физика и технические науки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  <w:tab w:val="num" w:pos="1080"/>
              </w:tabs>
              <w:ind w:left="423" w:hanging="283"/>
              <w:jc w:val="both"/>
              <w:rPr>
                <w:b/>
                <w:bCs/>
              </w:rPr>
            </w:pPr>
            <w:r w:rsidRPr="0080573C">
              <w:t xml:space="preserve">Филология </w:t>
            </w:r>
          </w:p>
        </w:tc>
      </w:tr>
      <w:tr w:rsidR="00266EC0" w:rsidRPr="0080573C" w:rsidTr="000B2C92">
        <w:tc>
          <w:tcPr>
            <w:tcW w:w="430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79"/>
                <w:tab w:val="num" w:pos="1080"/>
              </w:tabs>
              <w:ind w:hanging="1233"/>
              <w:jc w:val="both"/>
              <w:rPr>
                <w:b/>
                <w:bCs/>
              </w:rPr>
            </w:pPr>
            <w:r w:rsidRPr="0080573C">
              <w:t>Философия</w:t>
            </w:r>
          </w:p>
        </w:tc>
        <w:tc>
          <w:tcPr>
            <w:tcW w:w="4118" w:type="dxa"/>
          </w:tcPr>
          <w:p w:rsidR="00266EC0" w:rsidRPr="0080573C" w:rsidRDefault="00266EC0" w:rsidP="000B2C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  <w:tab w:val="num" w:pos="423"/>
                <w:tab w:val="num" w:pos="1080"/>
              </w:tabs>
              <w:ind w:left="423" w:hanging="283"/>
              <w:jc w:val="both"/>
              <w:rPr>
                <w:b/>
                <w:bCs/>
              </w:rPr>
            </w:pPr>
            <w:r w:rsidRPr="0080573C">
              <w:t>Экономика</w:t>
            </w:r>
          </w:p>
        </w:tc>
      </w:tr>
    </w:tbl>
    <w:p w:rsidR="00C61C62" w:rsidRPr="00171D60" w:rsidRDefault="00C61C62" w:rsidP="003513D9">
      <w:pPr>
        <w:shd w:val="clear" w:color="auto" w:fill="FFFFFF"/>
        <w:jc w:val="both"/>
      </w:pPr>
    </w:p>
    <w:p w:rsidR="00970677" w:rsidRPr="00171D60" w:rsidRDefault="00970677" w:rsidP="00171D60">
      <w:pPr>
        <w:shd w:val="clear" w:color="auto" w:fill="FFFFFF"/>
        <w:ind w:firstLine="708"/>
        <w:jc w:val="both"/>
      </w:pPr>
      <w:r w:rsidRPr="00171D60">
        <w:t xml:space="preserve">2.2. </w:t>
      </w:r>
      <w:r w:rsidR="002D4046" w:rsidRPr="00171D60">
        <w:t>Для адекватного подбора экспертов</w:t>
      </w:r>
      <w:r w:rsidR="002D4046" w:rsidRPr="00171D60" w:rsidDel="002D4046">
        <w:t xml:space="preserve"> </w:t>
      </w:r>
      <w:r w:rsidR="00503AF2" w:rsidRPr="00171D60">
        <w:t>з</w:t>
      </w:r>
      <w:r w:rsidR="002D4046" w:rsidRPr="00171D60">
        <w:t>аявитель</w:t>
      </w:r>
      <w:r w:rsidRPr="00171D60">
        <w:t xml:space="preserve"> конкретизирует область исследования (научное направление) в заявке</w:t>
      </w:r>
      <w:r w:rsidR="002D4046" w:rsidRPr="00171D60">
        <w:t xml:space="preserve">, указывая коды по рубрикаторам ГРНТИ, УДК или </w:t>
      </w:r>
      <w:r w:rsidR="002D4046" w:rsidRPr="00171D60">
        <w:rPr>
          <w:bCs/>
        </w:rPr>
        <w:t>дополнительно иным рубрикаторам, по желанию</w:t>
      </w:r>
      <w:r w:rsidRPr="00171D60">
        <w:t>.</w:t>
      </w:r>
    </w:p>
    <w:p w:rsidR="001024EB" w:rsidRPr="00171D60" w:rsidRDefault="001024EB" w:rsidP="003513D9">
      <w:pPr>
        <w:shd w:val="clear" w:color="auto" w:fill="FFFFFF"/>
        <w:jc w:val="both"/>
        <w:rPr>
          <w:b/>
          <w:bCs/>
        </w:rPr>
      </w:pPr>
    </w:p>
    <w:p w:rsidR="00171D60" w:rsidRDefault="00171D60" w:rsidP="00171D60">
      <w:pPr>
        <w:shd w:val="clear" w:color="auto" w:fill="FFFFFF"/>
        <w:spacing w:after="120"/>
        <w:ind w:firstLine="708"/>
        <w:jc w:val="center"/>
        <w:rPr>
          <w:b/>
          <w:bCs/>
        </w:rPr>
      </w:pPr>
    </w:p>
    <w:p w:rsidR="00A961C9" w:rsidRPr="00171D60" w:rsidRDefault="007578F3" w:rsidP="00171D60">
      <w:pPr>
        <w:shd w:val="clear" w:color="auto" w:fill="FFFFFF"/>
        <w:spacing w:after="120"/>
        <w:ind w:firstLine="708"/>
        <w:jc w:val="center"/>
      </w:pPr>
      <w:r w:rsidRPr="00171D60">
        <w:rPr>
          <w:b/>
          <w:bCs/>
        </w:rPr>
        <w:t>3</w:t>
      </w:r>
      <w:r w:rsidR="00A961C9" w:rsidRPr="00171D60">
        <w:rPr>
          <w:b/>
          <w:bCs/>
        </w:rPr>
        <w:t>. </w:t>
      </w:r>
      <w:r w:rsidR="0060772C" w:rsidRPr="00171D60">
        <w:rPr>
          <w:b/>
          <w:bCs/>
        </w:rPr>
        <w:t>ТРЕБОВАНИЯ К ПРЕТЕНДЕНТАМ НА ПРЕДОСТАВЛЕНИЕ ФИНАНСИРОВАНИЯ</w:t>
      </w:r>
    </w:p>
    <w:p w:rsidR="0060772C" w:rsidRPr="00171D60" w:rsidRDefault="0060772C" w:rsidP="00171D60">
      <w:pPr>
        <w:shd w:val="clear" w:color="auto" w:fill="FFFFFF"/>
        <w:spacing w:after="120"/>
        <w:ind w:firstLine="708"/>
        <w:jc w:val="both"/>
        <w:rPr>
          <w:bCs/>
        </w:rPr>
      </w:pPr>
      <w:r w:rsidRPr="00171D60">
        <w:rPr>
          <w:bCs/>
        </w:rPr>
        <w:t>3.1. На получение финансирования подаются индивидуальные заявки.</w:t>
      </w:r>
    </w:p>
    <w:p w:rsidR="00091C10" w:rsidRDefault="0060772C" w:rsidP="00171D60">
      <w:pPr>
        <w:shd w:val="clear" w:color="auto" w:fill="FFFFFF"/>
        <w:spacing w:after="120"/>
        <w:ind w:firstLine="708"/>
        <w:jc w:val="both"/>
        <w:rPr>
          <w:bCs/>
        </w:rPr>
      </w:pPr>
      <w:r w:rsidRPr="00957A1E">
        <w:rPr>
          <w:bCs/>
        </w:rPr>
        <w:t>3</w:t>
      </w:r>
      <w:r w:rsidRPr="00171D60">
        <w:rPr>
          <w:bCs/>
        </w:rPr>
        <w:t>.2. Каждый претендент может подавать одновременно несколько заявок на финансирование.</w:t>
      </w:r>
    </w:p>
    <w:p w:rsidR="0060772C" w:rsidRPr="00171D60" w:rsidRDefault="0060772C" w:rsidP="00171D60">
      <w:pPr>
        <w:shd w:val="clear" w:color="auto" w:fill="FFFFFF"/>
        <w:spacing w:after="120"/>
        <w:ind w:firstLine="708"/>
        <w:jc w:val="both"/>
      </w:pPr>
      <w:r w:rsidRPr="00171D60">
        <w:t xml:space="preserve">3.3. Финансирование за счет средств </w:t>
      </w:r>
      <w:r w:rsidR="00957A1E">
        <w:t>Фонда</w:t>
      </w:r>
      <w:r w:rsidRPr="00171D60">
        <w:t xml:space="preserve"> могут получить:</w:t>
      </w:r>
    </w:p>
    <w:p w:rsidR="0060772C" w:rsidRPr="00171D60" w:rsidRDefault="0060772C" w:rsidP="00171D60">
      <w:pPr>
        <w:tabs>
          <w:tab w:val="left" w:pos="720"/>
        </w:tabs>
        <w:spacing w:after="120"/>
        <w:jc w:val="both"/>
      </w:pPr>
      <w:r w:rsidRPr="00171D60">
        <w:tab/>
        <w:t xml:space="preserve">3.3.1. научные работники НИУ ВШЭ (по основному месту работы), работающие на полную ставку; </w:t>
      </w:r>
    </w:p>
    <w:p w:rsidR="0060772C" w:rsidRPr="00171D60" w:rsidRDefault="0060772C" w:rsidP="00171D60">
      <w:pPr>
        <w:tabs>
          <w:tab w:val="left" w:pos="720"/>
        </w:tabs>
        <w:spacing w:after="120"/>
        <w:jc w:val="both"/>
      </w:pPr>
      <w:r w:rsidRPr="00171D60">
        <w:tab/>
        <w:t xml:space="preserve">3.3.2. работники проектно-учебных лабораторий (ПУЛ) НИУ ВШЭ (по основному месту работы), работающие на полную ставку; </w:t>
      </w:r>
    </w:p>
    <w:p w:rsidR="0060772C" w:rsidRPr="00171D60" w:rsidRDefault="0060772C" w:rsidP="00171D60">
      <w:pPr>
        <w:tabs>
          <w:tab w:val="left" w:pos="720"/>
        </w:tabs>
        <w:spacing w:after="120"/>
        <w:jc w:val="both"/>
      </w:pPr>
      <w:r w:rsidRPr="00171D60">
        <w:tab/>
        <w:t>3.3.3. работники общеуниверситетских и базовых кафедр НИУ ВШЭ, не входящих в структуру факультета НИУ ВШЭ, работающие в должностях профессорско-преподавательского состава (по основному месту работы) на полную ставку;</w:t>
      </w:r>
    </w:p>
    <w:p w:rsidR="0060772C" w:rsidRPr="00171D60" w:rsidRDefault="0060772C" w:rsidP="00171D60">
      <w:pPr>
        <w:tabs>
          <w:tab w:val="left" w:pos="720"/>
        </w:tabs>
        <w:spacing w:after="120"/>
        <w:jc w:val="both"/>
      </w:pPr>
      <w:r w:rsidRPr="00171D60">
        <w:tab/>
        <w:t xml:space="preserve">3.3.4. аспиранты общеуниверситетских и базовых кафедр НИУ ВШЭ </w:t>
      </w:r>
      <w:r w:rsidR="001958C0" w:rsidRPr="00171D60">
        <w:t>очной формы обучения;</w:t>
      </w:r>
    </w:p>
    <w:p w:rsidR="0060772C" w:rsidRPr="00171D60" w:rsidRDefault="0060772C" w:rsidP="00171D60">
      <w:pPr>
        <w:tabs>
          <w:tab w:val="left" w:pos="720"/>
        </w:tabs>
        <w:spacing w:after="120"/>
        <w:jc w:val="both"/>
      </w:pPr>
      <w:r w:rsidRPr="00171D60">
        <w:tab/>
        <w:t>3.3.</w:t>
      </w:r>
      <w:r w:rsidR="001958C0" w:rsidRPr="00171D60">
        <w:t>5</w:t>
      </w:r>
      <w:r w:rsidRPr="00171D60">
        <w:t>. работники Департамента иностранных языков, работающие в должностях профессорско-преподавательского состава (по основному месту работы) на полную ставку;</w:t>
      </w:r>
    </w:p>
    <w:p w:rsidR="00091C10" w:rsidRDefault="001958C0" w:rsidP="00171D60">
      <w:pPr>
        <w:tabs>
          <w:tab w:val="left" w:pos="993"/>
        </w:tabs>
        <w:spacing w:after="120"/>
        <w:ind w:firstLine="720"/>
        <w:jc w:val="both"/>
      </w:pPr>
      <w:r w:rsidRPr="00171D60">
        <w:t>3.3.</w:t>
      </w:r>
      <w:r w:rsidR="00266EC0" w:rsidRPr="000B2C92">
        <w:t>6</w:t>
      </w:r>
      <w:r w:rsidR="0060772C" w:rsidRPr="00171D60">
        <w:t>. работники, относящиеся к административно-управленческому персоналу НИУ ВШЭ (по основному месту работы)</w:t>
      </w:r>
      <w:r w:rsidR="0090210C">
        <w:t xml:space="preserve">, </w:t>
      </w:r>
      <w:r w:rsidR="0060772C" w:rsidRPr="00171D60">
        <w:t>работающие на полную ставку</w:t>
      </w:r>
      <w:r w:rsidR="00266EC0">
        <w:t xml:space="preserve"> и совмещающие с преподавательской</w:t>
      </w:r>
      <w:r w:rsidR="0060772C" w:rsidRPr="00171D60">
        <w:t xml:space="preserve"> </w:t>
      </w:r>
      <w:r w:rsidR="00266EC0">
        <w:t xml:space="preserve">деятельностью </w:t>
      </w:r>
      <w:r w:rsidR="0060772C" w:rsidRPr="00171D60">
        <w:t xml:space="preserve">не менее чем на </w:t>
      </w:r>
      <w:r w:rsidR="0090210C">
        <w:t>0,25</w:t>
      </w:r>
      <w:r w:rsidR="0090210C" w:rsidRPr="00171D60">
        <w:t xml:space="preserve"> </w:t>
      </w:r>
      <w:r w:rsidR="0060772C" w:rsidRPr="00171D60">
        <w:t>ставки, при наличии академической надбавки любого уровня</w:t>
      </w:r>
      <w:r w:rsidR="00E11DCA">
        <w:t>.</w:t>
      </w:r>
    </w:p>
    <w:p w:rsidR="00091C10" w:rsidRDefault="001958C0" w:rsidP="00171D60">
      <w:pPr>
        <w:spacing w:after="120"/>
        <w:ind w:firstLine="720"/>
        <w:jc w:val="both"/>
      </w:pPr>
      <w:r w:rsidRPr="00171D60">
        <w:t>3.4</w:t>
      </w:r>
      <w:r w:rsidR="0060772C" w:rsidRPr="00171D60">
        <w:t>. Не могут получить финансирование:</w:t>
      </w:r>
    </w:p>
    <w:p w:rsidR="0060772C" w:rsidRPr="00171D60" w:rsidRDefault="001958C0" w:rsidP="00171D60">
      <w:pPr>
        <w:spacing w:after="120"/>
        <w:ind w:firstLine="720"/>
        <w:jc w:val="both"/>
      </w:pPr>
      <w:r w:rsidRPr="00171D60">
        <w:t>3.4</w:t>
      </w:r>
      <w:r w:rsidR="0060772C" w:rsidRPr="00171D60">
        <w:t xml:space="preserve">.1. работники НИУ ВШЭ, являющиеся обладателями ученой степени </w:t>
      </w:r>
      <w:proofErr w:type="spellStart"/>
      <w:r w:rsidR="0060772C" w:rsidRPr="00171D60">
        <w:t>PhD</w:t>
      </w:r>
      <w:proofErr w:type="spellEnd"/>
      <w:r w:rsidR="0060772C" w:rsidRPr="00171D60">
        <w:t xml:space="preserve">, принятые на работу в НИУ ВШЭ в результате процедуры </w:t>
      </w:r>
      <w:proofErr w:type="gramStart"/>
      <w:r w:rsidR="0060772C" w:rsidRPr="00171D60">
        <w:t>международного</w:t>
      </w:r>
      <w:proofErr w:type="gramEnd"/>
      <w:r w:rsidR="0060772C" w:rsidRPr="00171D60">
        <w:t xml:space="preserve"> </w:t>
      </w:r>
      <w:proofErr w:type="spellStart"/>
      <w:r w:rsidR="0060772C" w:rsidRPr="00171D60">
        <w:t>рекрутинга</w:t>
      </w:r>
      <w:proofErr w:type="spellEnd"/>
      <w:r w:rsidR="0060772C" w:rsidRPr="00171D60">
        <w:t>;</w:t>
      </w:r>
    </w:p>
    <w:p w:rsidR="0060772C" w:rsidRPr="00171D60" w:rsidRDefault="0060772C" w:rsidP="00171D60">
      <w:pPr>
        <w:tabs>
          <w:tab w:val="left" w:pos="720"/>
        </w:tabs>
        <w:spacing w:after="120"/>
        <w:jc w:val="both"/>
      </w:pPr>
      <w:r w:rsidRPr="00171D60">
        <w:tab/>
      </w:r>
      <w:r w:rsidR="001958C0" w:rsidRPr="00171D60">
        <w:t>3.4</w:t>
      </w:r>
      <w:r w:rsidRPr="00171D60">
        <w:t>.2. ректор НИУ ВШЭ, научный руководитель НИУ ВШЭ, президент НИУ ВШЭ, первые проректоры НИУ ВШЭ, проректоры НИУ ВШЭ, старшие директора</w:t>
      </w:r>
      <w:r w:rsidR="00957A1E">
        <w:t xml:space="preserve"> </w:t>
      </w:r>
      <w:r w:rsidR="00957A1E" w:rsidRPr="00957A1E">
        <w:t>НИУ ВШЭ</w:t>
      </w:r>
      <w:r w:rsidRPr="00171D60">
        <w:t>, директора по направлениям деятельности НИУ ВШЭ, директора филиалов НИУ ВШЭ;</w:t>
      </w:r>
    </w:p>
    <w:p w:rsidR="0060772C" w:rsidRPr="00171D60" w:rsidRDefault="0060772C" w:rsidP="00171D60">
      <w:pPr>
        <w:tabs>
          <w:tab w:val="left" w:pos="720"/>
        </w:tabs>
        <w:spacing w:after="120"/>
        <w:jc w:val="both"/>
      </w:pPr>
      <w:r w:rsidRPr="00171D60">
        <w:tab/>
      </w:r>
      <w:r w:rsidR="001958C0" w:rsidRPr="00171D60">
        <w:t>3.4</w:t>
      </w:r>
      <w:r w:rsidRPr="00171D60">
        <w:t>.3. в течение трех лет работники НИУ ВШЭ либо в случае выполнения работ научным коллективом – руководители проектов, показавшие неудовлетворительные результаты по ранее поддержанным проектам в рамках конкурсов Программы «Научный фонд НИУ ВШЭ».</w:t>
      </w:r>
    </w:p>
    <w:p w:rsidR="0060772C" w:rsidRPr="00171D60" w:rsidRDefault="001958C0" w:rsidP="00171D60">
      <w:pPr>
        <w:spacing w:after="120"/>
        <w:ind w:firstLine="720"/>
        <w:jc w:val="both"/>
      </w:pPr>
      <w:r w:rsidRPr="00171D60">
        <w:t>3.5</w:t>
      </w:r>
      <w:r w:rsidR="0060772C" w:rsidRPr="00171D60">
        <w:t>. Претенденты из числа научных работников международных лабораторий</w:t>
      </w:r>
      <w:r w:rsidR="0090210C">
        <w:t xml:space="preserve"> (московского кампуса)</w:t>
      </w:r>
      <w:r w:rsidR="0060772C" w:rsidRPr="00171D60">
        <w:t xml:space="preserve"> имеют право на финансирование 1 поездки в год за рубеж за счет средств </w:t>
      </w:r>
      <w:r w:rsidR="00171D60">
        <w:t>Фонда</w:t>
      </w:r>
      <w:r w:rsidR="0060772C" w:rsidRPr="00171D60">
        <w:t xml:space="preserve"> при условии несовпадения тематики научного мероприятия с тематикой научных исследований, закрепленных за лабораторией, или в случае </w:t>
      </w:r>
      <w:r w:rsidR="000B2C92">
        <w:t>исчерпания</w:t>
      </w:r>
      <w:r w:rsidR="000B2C92" w:rsidRPr="00171D60">
        <w:t xml:space="preserve"> </w:t>
      </w:r>
      <w:r w:rsidR="0060772C" w:rsidRPr="00171D60">
        <w:t xml:space="preserve">средств лаборатории, предназначенных для финансирования академической мобильности. </w:t>
      </w:r>
    </w:p>
    <w:p w:rsidR="00091C10" w:rsidRDefault="001958C0" w:rsidP="003513D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533F2" w:rsidRPr="00171D60" w:rsidRDefault="00091C10" w:rsidP="00171D60">
      <w:pPr>
        <w:shd w:val="clear" w:color="auto" w:fill="FFFFFF"/>
        <w:spacing w:after="120"/>
        <w:jc w:val="center"/>
        <w:rPr>
          <w:b/>
        </w:rPr>
      </w:pPr>
      <w:r>
        <w:rPr>
          <w:b/>
          <w:bCs/>
        </w:rPr>
        <w:tab/>
      </w:r>
      <w:r w:rsidR="007578F3" w:rsidRPr="00171D60">
        <w:rPr>
          <w:b/>
        </w:rPr>
        <w:t>4</w:t>
      </w:r>
      <w:r w:rsidR="006533F2" w:rsidRPr="00171D60">
        <w:rPr>
          <w:b/>
        </w:rPr>
        <w:t xml:space="preserve">. </w:t>
      </w:r>
      <w:r w:rsidR="001958C0" w:rsidRPr="001958C0">
        <w:rPr>
          <w:b/>
        </w:rPr>
        <w:t>ПОРЯДОК И СРОКИ ПРЕДСТАВЛЕНИЯ ЗАЯВОК, ТРЕБОВАНИЯ К ОФОРМЛЕНИЮ ЗАЯВКИ</w:t>
      </w:r>
    </w:p>
    <w:p w:rsidR="001958C0" w:rsidRPr="00171D60" w:rsidRDefault="007578F3" w:rsidP="00171D60">
      <w:pPr>
        <w:shd w:val="clear" w:color="auto" w:fill="FFFFFF"/>
        <w:spacing w:after="120"/>
        <w:ind w:firstLine="708"/>
        <w:jc w:val="both"/>
      </w:pPr>
      <w:r w:rsidRPr="00171D60">
        <w:t>4</w:t>
      </w:r>
      <w:r w:rsidR="006533F2" w:rsidRPr="00171D60">
        <w:t xml:space="preserve">.1. </w:t>
      </w:r>
      <w:r w:rsidR="001958C0" w:rsidRPr="00171D60">
        <w:t>Заявка на финансирование подается претендентом через личный кабинет претендента в электронном виде на корпоративном портале (сайте) НИУ ВШЭ (далее – Портал). Вход в личный кабинет производится по адресу: http://www.hse.ru/user. Пароль и логин (имя) для входа в личный кабинет выдаются работникам НИУ ВШЭ при личном обращении на адрес информационно-редакторского отдела Дирекции по информационным ресурсам: portal@hse.ru.</w:t>
      </w:r>
    </w:p>
    <w:p w:rsidR="001958C0" w:rsidRDefault="001958C0" w:rsidP="00171D60">
      <w:pPr>
        <w:shd w:val="clear" w:color="auto" w:fill="FFFFFF"/>
        <w:spacing w:after="120"/>
        <w:ind w:firstLine="708"/>
        <w:jc w:val="both"/>
        <w:rPr>
          <w:b/>
        </w:rPr>
      </w:pPr>
      <w:r>
        <w:t>4</w:t>
      </w:r>
      <w:r w:rsidRPr="00171D60">
        <w:t>.2. Претендент может подать заявку в любое время в течение календарного года</w:t>
      </w:r>
      <w:r w:rsidRPr="001958C0">
        <w:rPr>
          <w:b/>
        </w:rPr>
        <w:t>.</w:t>
      </w:r>
    </w:p>
    <w:p w:rsidR="001958C0" w:rsidRDefault="007578F3" w:rsidP="00171D60">
      <w:pPr>
        <w:shd w:val="clear" w:color="auto" w:fill="FFFFFF"/>
        <w:spacing w:after="120"/>
        <w:ind w:firstLine="708"/>
        <w:jc w:val="both"/>
      </w:pPr>
      <w:r w:rsidRPr="00171D60">
        <w:t>4</w:t>
      </w:r>
      <w:r w:rsidR="00DE111C" w:rsidRPr="00171D60">
        <w:t>.</w:t>
      </w:r>
      <w:r w:rsidR="001958C0">
        <w:t>3</w:t>
      </w:r>
      <w:r w:rsidR="00DE111C" w:rsidRPr="00171D60">
        <w:t>.</w:t>
      </w:r>
      <w:r w:rsidR="00DE111C" w:rsidRPr="00957A1E">
        <w:t xml:space="preserve"> Заявка на участие в научном мероприятии </w:t>
      </w:r>
      <w:r w:rsidR="00912EE9" w:rsidRPr="00171D60">
        <w:rPr>
          <w:b/>
        </w:rPr>
        <w:t>за рубежом</w:t>
      </w:r>
      <w:r w:rsidR="003513D9" w:rsidRPr="00171D60">
        <w:rPr>
          <w:b/>
        </w:rPr>
        <w:t xml:space="preserve"> </w:t>
      </w:r>
      <w:r w:rsidR="003513D9" w:rsidRPr="00171D60">
        <w:t xml:space="preserve">(включая </w:t>
      </w:r>
      <w:r w:rsidR="003513D9" w:rsidRPr="00171D60">
        <w:rPr>
          <w:b/>
        </w:rPr>
        <w:t>страны СНГ</w:t>
      </w:r>
      <w:r w:rsidR="003513D9" w:rsidRPr="00171D60">
        <w:t xml:space="preserve">) </w:t>
      </w:r>
      <w:r w:rsidR="00DE111C" w:rsidRPr="00171D60">
        <w:t xml:space="preserve">может подаваться </w:t>
      </w:r>
      <w:r w:rsidR="00DE111C" w:rsidRPr="00171D60">
        <w:rPr>
          <w:b/>
        </w:rPr>
        <w:t>1 раз в год</w:t>
      </w:r>
      <w:r w:rsidR="0073029D" w:rsidRPr="00171D60">
        <w:t xml:space="preserve"> не позднее, чем за </w:t>
      </w:r>
      <w:r w:rsidR="0073029D" w:rsidRPr="00171D60">
        <w:rPr>
          <w:b/>
        </w:rPr>
        <w:t>45 дней</w:t>
      </w:r>
      <w:r w:rsidR="0073029D" w:rsidRPr="00171D60">
        <w:t xml:space="preserve"> до</w:t>
      </w:r>
      <w:r w:rsidR="00562CA1" w:rsidRPr="00171D60">
        <w:t xml:space="preserve"> начала мероприятия</w:t>
      </w:r>
      <w:r w:rsidR="00912EE9" w:rsidRPr="00171D60">
        <w:t xml:space="preserve">. </w:t>
      </w:r>
    </w:p>
    <w:p w:rsidR="0059571F" w:rsidRPr="00171D60" w:rsidRDefault="001958C0" w:rsidP="00171D60">
      <w:pPr>
        <w:shd w:val="clear" w:color="auto" w:fill="FFFFFF"/>
        <w:spacing w:after="120"/>
        <w:ind w:firstLine="708"/>
        <w:jc w:val="both"/>
      </w:pPr>
      <w:r>
        <w:t xml:space="preserve">4.4. </w:t>
      </w:r>
      <w:r w:rsidR="007D739A">
        <w:t>Претенденты</w:t>
      </w:r>
      <w:r w:rsidR="00912EE9" w:rsidRPr="00957A1E">
        <w:t xml:space="preserve">, имеющие </w:t>
      </w:r>
      <w:r>
        <w:t xml:space="preserve">на момент подачи заявки академическую надбавку 3-го уровня (за публикацию в зарубежном рецензируемом научном издании) </w:t>
      </w:r>
      <w:r w:rsidR="00912EE9" w:rsidRPr="00957A1E">
        <w:t xml:space="preserve">могут получить </w:t>
      </w:r>
      <w:r w:rsidR="00912EE9" w:rsidRPr="00171D60">
        <w:rPr>
          <w:b/>
        </w:rPr>
        <w:t>дополнительную (вторую)</w:t>
      </w:r>
      <w:r w:rsidR="00912EE9" w:rsidRPr="00957A1E">
        <w:t xml:space="preserve"> поддержку на участие в научном мероприятии за рубежом</w:t>
      </w:r>
      <w:r w:rsidR="00284D68" w:rsidRPr="00171D60">
        <w:t>.</w:t>
      </w:r>
    </w:p>
    <w:p w:rsidR="0073029D" w:rsidRPr="00171D60" w:rsidRDefault="00947C7A" w:rsidP="00171D60">
      <w:pPr>
        <w:shd w:val="clear" w:color="auto" w:fill="FFFFFF"/>
        <w:spacing w:after="120"/>
        <w:ind w:firstLine="708"/>
        <w:jc w:val="both"/>
      </w:pPr>
      <w:r w:rsidRPr="00171D60">
        <w:t>4.5</w:t>
      </w:r>
      <w:r w:rsidR="002C317B" w:rsidRPr="00171D60">
        <w:t>.</w:t>
      </w:r>
      <w:r w:rsidR="002C317B" w:rsidRPr="00957A1E">
        <w:t xml:space="preserve"> Заявки на участие в научном мероприятии </w:t>
      </w:r>
      <w:r w:rsidR="002C317B" w:rsidRPr="00171D60">
        <w:rPr>
          <w:b/>
        </w:rPr>
        <w:t xml:space="preserve">на территории России </w:t>
      </w:r>
      <w:r w:rsidR="002C317B" w:rsidRPr="00171D60">
        <w:t xml:space="preserve">могут подаваться </w:t>
      </w:r>
      <w:r w:rsidRPr="00171D60">
        <w:t>1</w:t>
      </w:r>
      <w:r w:rsidR="002C317B" w:rsidRPr="00957A1E">
        <w:t xml:space="preserve"> ра</w:t>
      </w:r>
      <w:r w:rsidR="0073029D" w:rsidRPr="00171D60">
        <w:t>з</w:t>
      </w:r>
      <w:r w:rsidRPr="00171D60">
        <w:t xml:space="preserve"> в год</w:t>
      </w:r>
      <w:r>
        <w:t xml:space="preserve"> </w:t>
      </w:r>
      <w:r w:rsidR="00E318DA" w:rsidRPr="00957A1E">
        <w:t>не позднее, чем за</w:t>
      </w:r>
      <w:r w:rsidR="0073029D" w:rsidRPr="00171D60">
        <w:t xml:space="preserve"> </w:t>
      </w:r>
      <w:r w:rsidR="0073029D" w:rsidRPr="00171D60">
        <w:rPr>
          <w:b/>
        </w:rPr>
        <w:t>30 дней</w:t>
      </w:r>
      <w:r w:rsidR="0073029D" w:rsidRPr="00171D60">
        <w:t xml:space="preserve"> до начала мероприятия.</w:t>
      </w:r>
    </w:p>
    <w:p w:rsidR="00BF058F" w:rsidRPr="00171D60" w:rsidRDefault="00947C7A" w:rsidP="00171D60">
      <w:pPr>
        <w:shd w:val="clear" w:color="auto" w:fill="FFFFFF"/>
        <w:spacing w:after="120"/>
        <w:ind w:firstLine="708"/>
        <w:jc w:val="both"/>
      </w:pPr>
      <w:r w:rsidRPr="00171D60">
        <w:t>4.6.</w:t>
      </w:r>
      <w:r w:rsidR="00BF058F" w:rsidRPr="00957A1E">
        <w:t xml:space="preserve"> Запрашиваемый об</w:t>
      </w:r>
      <w:r w:rsidR="00BF058F" w:rsidRPr="00171D60">
        <w:t>ъем финансирования в рамках одного проекта не должен превышать для поездок: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firstLine="708"/>
        <w:jc w:val="both"/>
      </w:pPr>
      <w:r>
        <w:t>•</w:t>
      </w:r>
      <w:r>
        <w:tab/>
        <w:t xml:space="preserve">по России – </w:t>
      </w:r>
      <w:r w:rsidRPr="00171D60">
        <w:rPr>
          <w:b/>
        </w:rPr>
        <w:t>30 000</w:t>
      </w:r>
      <w:r>
        <w:t xml:space="preserve"> рублей;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firstLine="708"/>
        <w:jc w:val="both"/>
      </w:pPr>
      <w:r>
        <w:t>•</w:t>
      </w:r>
      <w:r>
        <w:tab/>
        <w:t xml:space="preserve">в странах СНГ – </w:t>
      </w:r>
      <w:r w:rsidRPr="00171D60">
        <w:rPr>
          <w:b/>
        </w:rPr>
        <w:t>35 000</w:t>
      </w:r>
      <w:r>
        <w:t xml:space="preserve"> рублей;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firstLine="708"/>
        <w:jc w:val="both"/>
      </w:pPr>
      <w:r>
        <w:t>•</w:t>
      </w:r>
      <w:r>
        <w:tab/>
        <w:t xml:space="preserve">по Европе – </w:t>
      </w:r>
      <w:r w:rsidRPr="00171D60">
        <w:rPr>
          <w:b/>
        </w:rPr>
        <w:t>65 000</w:t>
      </w:r>
      <w:r>
        <w:t xml:space="preserve"> рублей; 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firstLine="708"/>
        <w:jc w:val="both"/>
      </w:pPr>
      <w:r>
        <w:t>•</w:t>
      </w:r>
      <w:r>
        <w:tab/>
        <w:t xml:space="preserve">в Азии – </w:t>
      </w:r>
      <w:r w:rsidRPr="00171D60">
        <w:rPr>
          <w:b/>
        </w:rPr>
        <w:t>75 000</w:t>
      </w:r>
      <w:r>
        <w:t xml:space="preserve"> рублей, за исключением Турции и Израиля;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firstLine="708"/>
        <w:jc w:val="both"/>
      </w:pPr>
      <w:r>
        <w:t>•</w:t>
      </w:r>
      <w:r>
        <w:tab/>
        <w:t xml:space="preserve">для Турции и Израиля – </w:t>
      </w:r>
      <w:r w:rsidRPr="00171D60">
        <w:rPr>
          <w:b/>
        </w:rPr>
        <w:t>50 000</w:t>
      </w:r>
      <w:r>
        <w:t xml:space="preserve"> рублей;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firstLine="708"/>
        <w:jc w:val="both"/>
      </w:pPr>
      <w:r>
        <w:t>•</w:t>
      </w:r>
      <w:r>
        <w:tab/>
        <w:t xml:space="preserve">в Северную Америку (США и Канаду) – </w:t>
      </w:r>
      <w:r w:rsidRPr="00171D60">
        <w:rPr>
          <w:b/>
        </w:rPr>
        <w:t>80 000</w:t>
      </w:r>
      <w:r>
        <w:t xml:space="preserve"> рублей;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firstLine="708"/>
        <w:jc w:val="both"/>
      </w:pPr>
      <w:r>
        <w:t>•</w:t>
      </w:r>
      <w:r>
        <w:tab/>
        <w:t xml:space="preserve">в Австралию и ЮАР – </w:t>
      </w:r>
      <w:r w:rsidRPr="00171D60">
        <w:rPr>
          <w:b/>
        </w:rPr>
        <w:t>70 000</w:t>
      </w:r>
      <w:r>
        <w:t xml:space="preserve"> рублей;</w:t>
      </w:r>
    </w:p>
    <w:p w:rsidR="00947C7A" w:rsidRDefault="00947C7A" w:rsidP="00171D60">
      <w:pPr>
        <w:shd w:val="clear" w:color="auto" w:fill="FFFFFF"/>
        <w:tabs>
          <w:tab w:val="left" w:pos="993"/>
        </w:tabs>
        <w:spacing w:after="120"/>
        <w:ind w:left="993" w:hanging="284"/>
      </w:pPr>
      <w:r>
        <w:t>•</w:t>
      </w:r>
      <w:r>
        <w:tab/>
        <w:t xml:space="preserve">в Латинскую Америку (включая Мексику, Центральную и Южную Америку) – </w:t>
      </w:r>
      <w:r w:rsidRPr="00171D60">
        <w:rPr>
          <w:b/>
        </w:rPr>
        <w:t>75000</w:t>
      </w:r>
      <w:r>
        <w:t xml:space="preserve"> рублей.</w:t>
      </w:r>
    </w:p>
    <w:p w:rsidR="00947C7A" w:rsidRPr="00171D60" w:rsidRDefault="00947C7A" w:rsidP="00171D60">
      <w:pPr>
        <w:shd w:val="clear" w:color="auto" w:fill="FFFFFF"/>
        <w:spacing w:after="120"/>
        <w:ind w:firstLine="708"/>
        <w:jc w:val="both"/>
      </w:pPr>
      <w:r>
        <w:t>4.7</w:t>
      </w:r>
      <w:r w:rsidRPr="00171D60">
        <w:t>. Заявки рассматриваются в порядке очередности поступления, независимо от звания, должности и возраста претендента.</w:t>
      </w:r>
    </w:p>
    <w:p w:rsidR="00947C7A" w:rsidRPr="00171D60" w:rsidRDefault="00947C7A" w:rsidP="00171D60">
      <w:pPr>
        <w:shd w:val="clear" w:color="auto" w:fill="FFFFFF"/>
        <w:spacing w:after="120"/>
        <w:ind w:firstLine="708"/>
        <w:jc w:val="both"/>
        <w:rPr>
          <w:highlight w:val="yellow"/>
        </w:rPr>
      </w:pPr>
      <w:r>
        <w:t>4.8</w:t>
      </w:r>
      <w:r w:rsidRPr="00171D60">
        <w:t>. В случае представления доклада в соавторстве заявка может быть подана только одним из претендентов по взаимному согласованию.</w:t>
      </w:r>
    </w:p>
    <w:p w:rsidR="00947C7A" w:rsidRPr="00171D60" w:rsidRDefault="00947C7A" w:rsidP="00171D60">
      <w:pPr>
        <w:shd w:val="clear" w:color="auto" w:fill="FFFFFF"/>
        <w:spacing w:after="120"/>
        <w:ind w:firstLine="709"/>
        <w:jc w:val="both"/>
      </w:pPr>
      <w:r>
        <w:t>4.9</w:t>
      </w:r>
      <w:r w:rsidRPr="00171D60">
        <w:t>. В тексте заявки необходимо указать:</w:t>
      </w:r>
    </w:p>
    <w:p w:rsidR="00947C7A" w:rsidRPr="00171D60" w:rsidRDefault="00947C7A" w:rsidP="00171D60">
      <w:pPr>
        <w:shd w:val="clear" w:color="auto" w:fill="FFFFFF"/>
        <w:spacing w:after="120"/>
        <w:ind w:firstLine="709"/>
        <w:jc w:val="both"/>
      </w:pPr>
      <w:r>
        <w:t>4.9</w:t>
      </w:r>
      <w:r w:rsidRPr="00171D60">
        <w:t xml:space="preserve">.1. сведения о научном мероприятии и организации, осуществляющей подготовку данного научного мероприятия, с указанием полного официального наименования 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 с приложением соответствующих документов, указанных в пункте </w:t>
      </w:r>
      <w:r w:rsidR="002B5CBC">
        <w:t>4.10</w:t>
      </w:r>
      <w:r w:rsidRPr="00171D60">
        <w:t xml:space="preserve"> настоящего </w:t>
      </w:r>
      <w:r w:rsidR="007D739A">
        <w:t>Положения</w:t>
      </w:r>
      <w:r w:rsidRPr="00171D60">
        <w:t>;</w:t>
      </w:r>
    </w:p>
    <w:p w:rsidR="00947C7A" w:rsidRPr="00171D60" w:rsidRDefault="007D739A" w:rsidP="00171D60">
      <w:pPr>
        <w:shd w:val="clear" w:color="auto" w:fill="FFFFFF"/>
        <w:spacing w:after="120"/>
        <w:ind w:firstLine="709"/>
        <w:jc w:val="both"/>
      </w:pPr>
      <w:r>
        <w:t>4.9</w:t>
      </w:r>
      <w:r w:rsidR="00947C7A" w:rsidRPr="00171D60">
        <w:t xml:space="preserve">.2. название статьи (доклада) </w:t>
      </w:r>
      <w:r>
        <w:t>претендента</w:t>
      </w:r>
      <w:r w:rsidR="00947C7A" w:rsidRPr="00171D60">
        <w:t xml:space="preserve"> на языке мероприятия и на русском языке с приложением соответствующих документов, указанных в пункте </w:t>
      </w:r>
      <w:r w:rsidR="002B5CBC">
        <w:t>4.10</w:t>
      </w:r>
      <w:r w:rsidR="00947C7A" w:rsidRPr="00171D60">
        <w:t xml:space="preserve"> настоящего </w:t>
      </w:r>
      <w:r>
        <w:t>Положения</w:t>
      </w:r>
      <w:r w:rsidR="00947C7A" w:rsidRPr="00171D60">
        <w:t>;</w:t>
      </w:r>
    </w:p>
    <w:p w:rsidR="00947C7A" w:rsidRPr="00171D60" w:rsidRDefault="007D739A" w:rsidP="00171D60">
      <w:pPr>
        <w:shd w:val="clear" w:color="auto" w:fill="FFFFFF"/>
        <w:spacing w:after="120"/>
        <w:ind w:firstLine="709"/>
        <w:jc w:val="both"/>
      </w:pPr>
      <w:r>
        <w:t>4.9</w:t>
      </w:r>
      <w:r w:rsidR="00947C7A" w:rsidRPr="00171D60">
        <w:t xml:space="preserve">.3. информацию о запрашиваемом </w:t>
      </w:r>
      <w:r>
        <w:t>претендентом</w:t>
      </w:r>
      <w:r w:rsidR="00947C7A" w:rsidRPr="00171D60">
        <w:t xml:space="preserve"> объеме финансирования в соответствии с </w:t>
      </w:r>
      <w:r>
        <w:t xml:space="preserve">лимитами, указанными в </w:t>
      </w:r>
      <w:r w:rsidRPr="007D739A">
        <w:t xml:space="preserve">пункте </w:t>
      </w:r>
      <w:r>
        <w:t xml:space="preserve">4.6. </w:t>
      </w:r>
      <w:r w:rsidRPr="007D739A">
        <w:t>настоящего Положения</w:t>
      </w:r>
      <w:r>
        <w:t xml:space="preserve">. </w:t>
      </w:r>
      <w:proofErr w:type="gramStart"/>
      <w:r>
        <w:t>У</w:t>
      </w:r>
      <w:r w:rsidRPr="007D739A">
        <w:t>каз</w:t>
      </w:r>
      <w:r>
        <w:t>ывается</w:t>
      </w:r>
      <w:r w:rsidRPr="007D739A">
        <w:t xml:space="preserve"> </w:t>
      </w:r>
      <w:r w:rsidRPr="007D739A">
        <w:lastRenderedPageBreak/>
        <w:t>общ</w:t>
      </w:r>
      <w:r>
        <w:t>ая</w:t>
      </w:r>
      <w:r w:rsidRPr="007D739A">
        <w:t xml:space="preserve"> сумм</w:t>
      </w:r>
      <w:r>
        <w:t>а</w:t>
      </w:r>
      <w:r w:rsidRPr="007D739A">
        <w:t xml:space="preserve"> </w:t>
      </w:r>
      <w:r>
        <w:t>(</w:t>
      </w:r>
      <w:r w:rsidRPr="007D739A">
        <w:t>в рублях</w:t>
      </w:r>
      <w:r>
        <w:t>)</w:t>
      </w:r>
      <w:r w:rsidRPr="007D739A">
        <w:t xml:space="preserve"> в пределах, установленных п.4.</w:t>
      </w:r>
      <w:r>
        <w:t>6</w:t>
      </w:r>
      <w:r w:rsidRPr="007D739A">
        <w:t xml:space="preserve">. настоящего Положения, </w:t>
      </w:r>
      <w:r w:rsidR="002B5CBC">
        <w:t xml:space="preserve">с разбиением по статьям расходов, </w:t>
      </w:r>
      <w:r w:rsidRPr="007D739A">
        <w:t xml:space="preserve">включая проезд до пункта назначения и обратно без трансфера (авиабилет и/или ж/д </w:t>
      </w:r>
      <w:proofErr w:type="spellStart"/>
      <w:r w:rsidRPr="007D739A">
        <w:t>экономкласса</w:t>
      </w:r>
      <w:proofErr w:type="spellEnd"/>
      <w:r w:rsidRPr="007D739A">
        <w:t xml:space="preserve"> и/или междугородний автобус), проживание (в пределах норм, установленных </w:t>
      </w:r>
      <w:r w:rsidR="000B2C92">
        <w:t>нормативными актами</w:t>
      </w:r>
      <w:r w:rsidRPr="007D739A">
        <w:t>), суточные</w:t>
      </w:r>
      <w:r w:rsidR="00D27A2A">
        <w:t xml:space="preserve"> (в пределах норм, установленных приказом НИУ ВШЭ от </w:t>
      </w:r>
      <w:r w:rsidR="00D27A2A" w:rsidRPr="00D27A2A">
        <w:t>11.02.2016</w:t>
      </w:r>
      <w:r w:rsidR="00D27A2A">
        <w:t xml:space="preserve"> №</w:t>
      </w:r>
      <w:r w:rsidR="0093501D" w:rsidRPr="0093501D">
        <w:t>6.18.1-01/1102-05</w:t>
      </w:r>
      <w:r w:rsidR="0093501D">
        <w:t>)</w:t>
      </w:r>
      <w:r w:rsidRPr="007D739A">
        <w:t>,</w:t>
      </w:r>
      <w:r w:rsidR="00A86F54" w:rsidRPr="00A86F54">
        <w:t xml:space="preserve"> </w:t>
      </w:r>
      <w:proofErr w:type="spellStart"/>
      <w:r w:rsidRPr="007D739A">
        <w:t>оргвзнос</w:t>
      </w:r>
      <w:proofErr w:type="spellEnd"/>
      <w:r w:rsidRPr="007D739A">
        <w:t xml:space="preserve"> и прочие расходы;</w:t>
      </w:r>
      <w:r w:rsidR="00947C7A" w:rsidRPr="00171D60">
        <w:t xml:space="preserve"> </w:t>
      </w:r>
      <w:proofErr w:type="gramEnd"/>
    </w:p>
    <w:p w:rsidR="00947C7A" w:rsidRPr="00171D60" w:rsidRDefault="007D739A" w:rsidP="00171D60">
      <w:pPr>
        <w:shd w:val="clear" w:color="auto" w:fill="FFFFFF"/>
        <w:spacing w:after="120"/>
        <w:ind w:firstLine="709"/>
        <w:jc w:val="both"/>
      </w:pPr>
      <w:r>
        <w:t>4.9</w:t>
      </w:r>
      <w:r w:rsidR="00947C7A" w:rsidRPr="00171D60">
        <w:t xml:space="preserve">.4. информацию о других источниках финансирования с их конкретным указанием в случае превышения объема финансирования. </w:t>
      </w:r>
    </w:p>
    <w:p w:rsidR="00947C7A" w:rsidRPr="00171D60" w:rsidRDefault="007D739A" w:rsidP="00171D60">
      <w:pPr>
        <w:shd w:val="clear" w:color="auto" w:fill="FFFFFF"/>
        <w:spacing w:after="120"/>
        <w:ind w:firstLine="709"/>
        <w:jc w:val="both"/>
      </w:pPr>
      <w:r>
        <w:t>4.10</w:t>
      </w:r>
      <w:r w:rsidR="00947C7A" w:rsidRPr="00171D60">
        <w:t>. К заявке прилагаются следующие документы:</w:t>
      </w:r>
    </w:p>
    <w:p w:rsidR="00947C7A" w:rsidRPr="00171D60" w:rsidRDefault="007D739A" w:rsidP="00171D60">
      <w:pPr>
        <w:shd w:val="clear" w:color="auto" w:fill="FFFFFF"/>
        <w:spacing w:after="120"/>
        <w:ind w:firstLine="709"/>
        <w:jc w:val="both"/>
      </w:pPr>
      <w:r>
        <w:t>4.10</w:t>
      </w:r>
      <w:r w:rsidR="00947C7A" w:rsidRPr="00171D60">
        <w:t xml:space="preserve">.1. оригинал или копия приглашения для участия в мероприятии с указанием сроков и места проведения мероприятия и финансовых условий участия, а также сведений о включении представленного претендентом доклада в программу мероприятия с указанием автора, названия и типа доклада, </w:t>
      </w:r>
      <w:proofErr w:type="spellStart"/>
      <w:r w:rsidR="00947C7A" w:rsidRPr="00171D60">
        <w:t>аффилиации</w:t>
      </w:r>
      <w:proofErr w:type="spellEnd"/>
      <w:r w:rsidR="00947C7A" w:rsidRPr="00171D60">
        <w:t xml:space="preserve"> автора (в случае, если планируется выступление с докладом);</w:t>
      </w:r>
    </w:p>
    <w:p w:rsidR="00947C7A" w:rsidRPr="00171D60" w:rsidRDefault="007D739A" w:rsidP="00171D60">
      <w:pPr>
        <w:shd w:val="clear" w:color="auto" w:fill="FFFFFF"/>
        <w:spacing w:after="120"/>
        <w:ind w:firstLine="709"/>
        <w:jc w:val="both"/>
      </w:pPr>
      <w:r>
        <w:t>4.10</w:t>
      </w:r>
      <w:r w:rsidR="00947C7A" w:rsidRPr="00171D60">
        <w:t>.2. полная программа научного мероприятия. Допускается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:rsidR="00947C7A" w:rsidRPr="00171D60" w:rsidRDefault="007D739A" w:rsidP="00171D60">
      <w:pPr>
        <w:shd w:val="clear" w:color="auto" w:fill="FFFFFF"/>
        <w:spacing w:after="120"/>
        <w:ind w:firstLine="709"/>
        <w:jc w:val="both"/>
      </w:pPr>
      <w:r>
        <w:t>4.10</w:t>
      </w:r>
      <w:r w:rsidR="00947C7A" w:rsidRPr="00171D60">
        <w:t>.3. статья (доклад) на языке научного мероприятия, если претендент планирует выступать на мероприятии с докладом</w:t>
      </w:r>
      <w:r w:rsidR="004D3889">
        <w:t xml:space="preserve"> (в</w:t>
      </w:r>
      <w:r w:rsidR="004D3889" w:rsidRPr="004D3889">
        <w:t xml:space="preserve"> исключительных случаях допускается представление расширенной аннотации (объемом не менее 4-х стр. формата А</w:t>
      </w:r>
      <w:proofErr w:type="gramStart"/>
      <w:r w:rsidR="004D3889" w:rsidRPr="004D3889">
        <w:t>4</w:t>
      </w:r>
      <w:proofErr w:type="gramEnd"/>
      <w:r w:rsidR="004D3889" w:rsidRPr="004D3889">
        <w:t>) на языке научного мероприятия, содержащей вопросы актуальности и новизны, а также предмет, це</w:t>
      </w:r>
      <w:r w:rsidR="004D3889">
        <w:t>ли и результаты исследования)</w:t>
      </w:r>
      <w:r w:rsidR="00947C7A" w:rsidRPr="00171D60">
        <w:t>;</w:t>
      </w:r>
      <w:r w:rsidR="004D3889">
        <w:t xml:space="preserve"> </w:t>
      </w:r>
      <w:r w:rsidR="00947C7A" w:rsidRPr="00171D60">
        <w:t>презентация постера, если планируется участие с постером;</w:t>
      </w:r>
    </w:p>
    <w:p w:rsidR="00947C7A" w:rsidRPr="00171D60" w:rsidRDefault="004D3889" w:rsidP="00171D60">
      <w:pPr>
        <w:shd w:val="clear" w:color="auto" w:fill="FFFFFF"/>
        <w:spacing w:after="120"/>
        <w:ind w:firstLine="709"/>
        <w:jc w:val="both"/>
        <w:rPr>
          <w:highlight w:val="yellow"/>
        </w:rPr>
      </w:pPr>
      <w:r>
        <w:t>4.10</w:t>
      </w:r>
      <w:r w:rsidR="00947C7A" w:rsidRPr="00171D60">
        <w:t>.4. обоснование необходимости участия в данном мероприятии (если планируется участие с постером).</w:t>
      </w:r>
    </w:p>
    <w:p w:rsidR="00A64CDC" w:rsidRPr="00171D60" w:rsidRDefault="00903D5E" w:rsidP="00171D60">
      <w:pPr>
        <w:shd w:val="clear" w:color="auto" w:fill="FFFFFF"/>
        <w:spacing w:after="120"/>
        <w:jc w:val="both"/>
      </w:pPr>
      <w:r w:rsidRPr="00C42AA1">
        <w:tab/>
      </w:r>
      <w:r w:rsidR="00A64CDC" w:rsidRPr="00171D60">
        <w:t>4.</w:t>
      </w:r>
      <w:r w:rsidR="004D3889">
        <w:t>11</w:t>
      </w:r>
      <w:r w:rsidR="00A64CDC" w:rsidRPr="00171D60">
        <w:t>.</w:t>
      </w:r>
      <w:r w:rsidR="00A64CDC" w:rsidRPr="00957A1E">
        <w:t xml:space="preserve"> На одно научное мероприятие может быть поддержано не более 5 заявок. Заявки рассматриваются в порядке очередности поступления, независимо от звания,</w:t>
      </w:r>
      <w:r w:rsidR="0059635B" w:rsidRPr="00171D60">
        <w:t xml:space="preserve"> </w:t>
      </w:r>
      <w:r w:rsidR="00A64CDC" w:rsidRPr="00171D60">
        <w:t xml:space="preserve">должности </w:t>
      </w:r>
      <w:r w:rsidR="0059635B" w:rsidRPr="00171D60">
        <w:t xml:space="preserve">и </w:t>
      </w:r>
      <w:r w:rsidR="00A64CDC" w:rsidRPr="00171D60">
        <w:t xml:space="preserve">возраста заявителя. </w:t>
      </w:r>
    </w:p>
    <w:p w:rsidR="00A64CDC" w:rsidRPr="00171D60" w:rsidRDefault="00A64CDC" w:rsidP="00171D60">
      <w:pPr>
        <w:shd w:val="clear" w:color="auto" w:fill="FFFFFF"/>
        <w:spacing w:after="120"/>
        <w:ind w:firstLine="708"/>
        <w:jc w:val="both"/>
      </w:pPr>
      <w:r w:rsidRPr="00171D60">
        <w:t>4.</w:t>
      </w:r>
      <w:r w:rsidR="004D3889" w:rsidRPr="00171D60">
        <w:t>1</w:t>
      </w:r>
      <w:r w:rsidR="004D3889">
        <w:t>2</w:t>
      </w:r>
      <w:r w:rsidRPr="00171D60">
        <w:t>.</w:t>
      </w:r>
      <w:r w:rsidRPr="00957A1E">
        <w:t xml:space="preserve"> По решению Бюро Совета Фонда заявки на </w:t>
      </w:r>
      <w:r w:rsidR="00973D4D" w:rsidRPr="00171D60">
        <w:t xml:space="preserve">исключительно </w:t>
      </w:r>
      <w:r w:rsidRPr="00171D60">
        <w:t xml:space="preserve">значимые в научном плане мероприятия могут быть поддержаны в большем количестве. </w:t>
      </w:r>
    </w:p>
    <w:p w:rsidR="002B5CBC" w:rsidRDefault="002B5CBC" w:rsidP="00171D60">
      <w:pPr>
        <w:shd w:val="clear" w:color="auto" w:fill="FFFFFF"/>
        <w:spacing w:after="120"/>
        <w:ind w:left="1080" w:hanging="372"/>
        <w:rPr>
          <w:bCs/>
        </w:rPr>
      </w:pPr>
    </w:p>
    <w:p w:rsidR="00AA6F5D" w:rsidRPr="00C42AA1" w:rsidRDefault="009F4BB3" w:rsidP="00171D60">
      <w:pPr>
        <w:shd w:val="clear" w:color="auto" w:fill="FFFFFF"/>
        <w:spacing w:after="120"/>
        <w:ind w:left="1080" w:hanging="372"/>
        <w:jc w:val="center"/>
      </w:pPr>
      <w:r w:rsidRPr="00C42AA1">
        <w:rPr>
          <w:b/>
          <w:bCs/>
        </w:rPr>
        <w:t xml:space="preserve">5. </w:t>
      </w:r>
      <w:r w:rsidR="004D3889" w:rsidRPr="004D3889">
        <w:rPr>
          <w:b/>
          <w:bCs/>
        </w:rPr>
        <w:t>ПОРЯДОК ОТБОРА ЗАЯВОК НА ФИНАНСИРОВАНИЕ</w:t>
      </w:r>
    </w:p>
    <w:p w:rsidR="00C94079" w:rsidRPr="00C42AA1" w:rsidRDefault="00C94079" w:rsidP="00171D60">
      <w:pPr>
        <w:shd w:val="clear" w:color="auto" w:fill="FFFFFF"/>
        <w:spacing w:after="120"/>
        <w:rPr>
          <w:b/>
        </w:rPr>
      </w:pPr>
    </w:p>
    <w:p w:rsidR="00A53CF6" w:rsidRPr="00171D60" w:rsidRDefault="009F4BB3" w:rsidP="00171D60">
      <w:pPr>
        <w:shd w:val="clear" w:color="auto" w:fill="FFFFFF"/>
        <w:spacing w:after="120"/>
        <w:ind w:firstLine="708"/>
        <w:jc w:val="both"/>
      </w:pPr>
      <w:r w:rsidRPr="00171D60">
        <w:t>5</w:t>
      </w:r>
      <w:r w:rsidR="00BF058F" w:rsidRPr="00171D60">
        <w:t xml:space="preserve">.1. </w:t>
      </w:r>
      <w:r w:rsidR="00427FC6" w:rsidRPr="00957A1E">
        <w:t>П</w:t>
      </w:r>
      <w:r w:rsidR="00BF058F" w:rsidRPr="00171D60">
        <w:t>ринят</w:t>
      </w:r>
      <w:r w:rsidR="00427FC6" w:rsidRPr="00171D60">
        <w:t>ая</w:t>
      </w:r>
      <w:r w:rsidR="00BF058F" w:rsidRPr="00171D60">
        <w:t xml:space="preserve"> к рассмотрению </w:t>
      </w:r>
      <w:r w:rsidR="00427FC6" w:rsidRPr="00171D60">
        <w:t xml:space="preserve">заявка </w:t>
      </w:r>
      <w:r w:rsidR="00BC0EF7" w:rsidRPr="00171D60">
        <w:t xml:space="preserve">направляется </w:t>
      </w:r>
      <w:r w:rsidR="00032378" w:rsidRPr="00171D60">
        <w:t>на экспертизу</w:t>
      </w:r>
      <w:r w:rsidR="004D3889" w:rsidRPr="00171D60">
        <w:t>. Экспертиза осуществляется координаторами научных направлений в соответствии с Положением о координаторах научных направлений, привлекаемых НИУ ВШЭ для проведения академической экспертизы проектов.</w:t>
      </w:r>
      <w:r w:rsidR="00032378" w:rsidRPr="00171D60">
        <w:t xml:space="preserve"> </w:t>
      </w:r>
    </w:p>
    <w:p w:rsidR="004D3889" w:rsidRPr="00171D60" w:rsidRDefault="009F4BB3" w:rsidP="00171D60">
      <w:pPr>
        <w:shd w:val="clear" w:color="auto" w:fill="FFFFFF"/>
        <w:spacing w:after="120"/>
        <w:ind w:firstLine="708"/>
        <w:jc w:val="both"/>
      </w:pPr>
      <w:r w:rsidRPr="00171D60">
        <w:t>5</w:t>
      </w:r>
      <w:r w:rsidR="00A53CF6" w:rsidRPr="00171D60">
        <w:t>.2.</w:t>
      </w:r>
      <w:r w:rsidR="00A53CF6" w:rsidRPr="00957A1E">
        <w:t xml:space="preserve"> </w:t>
      </w:r>
      <w:r w:rsidR="004D3889" w:rsidRPr="00171D60">
        <w:t>Срок проведения экспертизы составляет не более 10 (десяти) рабочих дней. 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:rsidR="00DA6CF3" w:rsidRPr="00171D60" w:rsidRDefault="00DA6CF3" w:rsidP="00171D60">
      <w:pPr>
        <w:shd w:val="clear" w:color="auto" w:fill="FFFFFF"/>
        <w:spacing w:after="120"/>
        <w:ind w:firstLine="708"/>
        <w:jc w:val="both"/>
      </w:pPr>
      <w:r w:rsidRPr="00171D60">
        <w:t xml:space="preserve"> 5.</w:t>
      </w:r>
      <w:r w:rsidR="004D3889">
        <w:t>3</w:t>
      </w:r>
      <w:r w:rsidRPr="00171D60">
        <w:t>.</w:t>
      </w:r>
      <w:r w:rsidRPr="00957A1E">
        <w:t xml:space="preserve"> Решение о поддержке заявки и выделении финансирования или отклонении заявки на поездку принимает Бюро Совет</w:t>
      </w:r>
      <w:r w:rsidRPr="00171D60">
        <w:t xml:space="preserve">а Фонда </w:t>
      </w:r>
      <w:r w:rsidR="004D3889">
        <w:t>с учетом</w:t>
      </w:r>
      <w:r w:rsidRPr="00957A1E">
        <w:t xml:space="preserve"> результатов экспертизы заявки.</w:t>
      </w:r>
      <w:r w:rsidRPr="00171D60">
        <w:t xml:space="preserve"> </w:t>
      </w:r>
    </w:p>
    <w:p w:rsidR="00DA6CF3" w:rsidRPr="00171D60" w:rsidRDefault="00DA6CF3" w:rsidP="00171D60">
      <w:pPr>
        <w:shd w:val="clear" w:color="auto" w:fill="FFFFFF"/>
        <w:spacing w:after="120"/>
        <w:ind w:firstLine="708"/>
        <w:jc w:val="both"/>
      </w:pPr>
      <w:r w:rsidRPr="00171D60">
        <w:lastRenderedPageBreak/>
        <w:t>5.</w:t>
      </w:r>
      <w:r w:rsidR="004D3889">
        <w:t>4</w:t>
      </w:r>
      <w:r w:rsidRPr="00171D60">
        <w:t xml:space="preserve">. </w:t>
      </w:r>
      <w:r w:rsidR="004D3889" w:rsidRPr="004D3889">
        <w:t xml:space="preserve">Решение о финансировании </w:t>
      </w:r>
      <w:r w:rsidRPr="00171D60">
        <w:t>доводится до сведения Заявителя с предоставлением  ему выписки из протокола заседания Бюро Совета Фонда о поддержке заявки и выделении  финансирования на поездку</w:t>
      </w:r>
      <w:r w:rsidR="006C18DA" w:rsidRPr="00171D60">
        <w:t xml:space="preserve"> в течение 3 (трех) рабочих дней</w:t>
      </w:r>
      <w:r w:rsidRPr="00171D60">
        <w:t>.</w:t>
      </w:r>
    </w:p>
    <w:p w:rsidR="006C5C9D" w:rsidRDefault="0090210C">
      <w:pPr>
        <w:shd w:val="clear" w:color="auto" w:fill="FFFFFF"/>
        <w:spacing w:after="120"/>
        <w:ind w:firstLine="708"/>
        <w:jc w:val="both"/>
      </w:pPr>
      <w:r w:rsidRPr="000B2C92">
        <w:rPr>
          <w:bCs/>
        </w:rPr>
        <w:t>5.5</w:t>
      </w:r>
      <w:r w:rsidR="006C5C9D" w:rsidRPr="0090210C">
        <w:t>.</w:t>
      </w:r>
      <w:r w:rsidR="006C5C9D">
        <w:t xml:space="preserve"> </w:t>
      </w:r>
      <w:r>
        <w:t>Ф</w:t>
      </w:r>
      <w:r w:rsidR="006C5C9D" w:rsidRPr="006C5C9D">
        <w:t xml:space="preserve">инансирование </w:t>
      </w:r>
      <w:r w:rsidR="00E226F7">
        <w:t xml:space="preserve">поддержанной заявки </w:t>
      </w:r>
      <w:r w:rsidR="006C5C9D" w:rsidRPr="006C5C9D">
        <w:t xml:space="preserve">осуществляется в соответствии с </w:t>
      </w:r>
      <w:r w:rsidR="00E226F7" w:rsidRPr="006C5C9D">
        <w:t>процедур</w:t>
      </w:r>
      <w:r w:rsidR="00E226F7">
        <w:t>ой оформления</w:t>
      </w:r>
      <w:r w:rsidR="006C5C9D" w:rsidRPr="006C5C9D">
        <w:t xml:space="preserve"> </w:t>
      </w:r>
      <w:r w:rsidR="00E226F7" w:rsidRPr="006C5C9D">
        <w:t>служебн</w:t>
      </w:r>
      <w:r w:rsidR="00E226F7">
        <w:t>ой</w:t>
      </w:r>
      <w:r w:rsidR="00E226F7" w:rsidRPr="006C5C9D">
        <w:t xml:space="preserve"> </w:t>
      </w:r>
      <w:r w:rsidR="006C5C9D" w:rsidRPr="006C5C9D">
        <w:t>командировки</w:t>
      </w:r>
      <w:r>
        <w:t>.</w:t>
      </w:r>
      <w:r w:rsidR="006C5C9D" w:rsidRPr="006C5C9D">
        <w:t xml:space="preserve"> </w:t>
      </w:r>
    </w:p>
    <w:p w:rsidR="00C94079" w:rsidRPr="00C42AA1" w:rsidRDefault="00A961C9" w:rsidP="00171D60">
      <w:pPr>
        <w:shd w:val="clear" w:color="auto" w:fill="FFFFFF"/>
        <w:spacing w:after="120"/>
        <w:jc w:val="both"/>
        <w:rPr>
          <w:b/>
          <w:bCs/>
        </w:rPr>
      </w:pPr>
      <w:r w:rsidRPr="00171D60">
        <w:rPr>
          <w:bCs/>
        </w:rPr>
        <w:t> </w:t>
      </w:r>
      <w:r w:rsidR="006C5C9D">
        <w:rPr>
          <w:bCs/>
        </w:rPr>
        <w:tab/>
      </w:r>
      <w:r w:rsidRPr="00C42AA1">
        <w:rPr>
          <w:b/>
          <w:bCs/>
        </w:rPr>
        <w:t> </w:t>
      </w:r>
    </w:p>
    <w:p w:rsidR="00A961C9" w:rsidRPr="00C42AA1" w:rsidRDefault="00E226F7" w:rsidP="00F23BD5">
      <w:pPr>
        <w:shd w:val="clear" w:color="auto" w:fill="FFFFFF"/>
        <w:spacing w:after="120"/>
        <w:ind w:firstLine="708"/>
        <w:jc w:val="center"/>
      </w:pPr>
      <w:r>
        <w:rPr>
          <w:b/>
          <w:bCs/>
        </w:rPr>
        <w:t>6</w:t>
      </w:r>
      <w:r w:rsidR="00A961C9" w:rsidRPr="00C42AA1">
        <w:rPr>
          <w:b/>
          <w:bCs/>
        </w:rPr>
        <w:t>. </w:t>
      </w:r>
      <w:r w:rsidR="004A05BA" w:rsidRPr="00C42AA1">
        <w:rPr>
          <w:b/>
          <w:bCs/>
        </w:rPr>
        <w:t>ПОРЯДОК ПРЕДСТАВЛЕНИЯ ОТЧЕТНОСТИ</w:t>
      </w:r>
    </w:p>
    <w:p w:rsidR="00C94079" w:rsidRPr="00C42AA1" w:rsidRDefault="00C94079" w:rsidP="00171D60">
      <w:pPr>
        <w:shd w:val="clear" w:color="auto" w:fill="FFFFFF"/>
        <w:spacing w:after="120"/>
        <w:jc w:val="both"/>
        <w:rPr>
          <w:b/>
        </w:rPr>
      </w:pPr>
    </w:p>
    <w:p w:rsidR="005201E4" w:rsidRPr="00171D60" w:rsidRDefault="00E226F7" w:rsidP="00171D60">
      <w:pPr>
        <w:shd w:val="clear" w:color="auto" w:fill="FFFFFF"/>
        <w:spacing w:after="120"/>
        <w:ind w:firstLine="708"/>
        <w:jc w:val="both"/>
      </w:pPr>
      <w:r>
        <w:t>6</w:t>
      </w:r>
      <w:r w:rsidR="005201E4" w:rsidRPr="00171D60">
        <w:t>.1</w:t>
      </w:r>
      <w:r w:rsidR="005201E4" w:rsidRPr="00957A1E">
        <w:t xml:space="preserve">. </w:t>
      </w:r>
      <w:r w:rsidR="00786758" w:rsidRPr="00171D60">
        <w:t>З</w:t>
      </w:r>
      <w:r w:rsidR="00A961C9" w:rsidRPr="00171D60">
        <w:t>аявители</w:t>
      </w:r>
      <w:r w:rsidR="00786758" w:rsidRPr="00171D60">
        <w:t xml:space="preserve">, приложившие к заявке расширенную аннотацию, </w:t>
      </w:r>
      <w:r w:rsidR="00A961C9" w:rsidRPr="00171D60">
        <w:t xml:space="preserve">по завершении поездки на научное мероприятие представляют </w:t>
      </w:r>
      <w:r w:rsidR="0059635B" w:rsidRPr="00171D60">
        <w:t xml:space="preserve">в течение 10 (десяти) рабочих дней </w:t>
      </w:r>
      <w:r w:rsidR="00786758" w:rsidRPr="00171D60">
        <w:t>в электронном виде</w:t>
      </w:r>
      <w:r w:rsidR="00786758" w:rsidRPr="00171D60">
        <w:rPr>
          <w:bCs/>
        </w:rPr>
        <w:t xml:space="preserve"> </w:t>
      </w:r>
      <w:r w:rsidR="0059635B" w:rsidRPr="00957A1E">
        <w:t xml:space="preserve">текст </w:t>
      </w:r>
      <w:r w:rsidR="00786758" w:rsidRPr="00171D60">
        <w:t>доклад</w:t>
      </w:r>
      <w:r w:rsidR="006C18DA" w:rsidRPr="00171D60">
        <w:t>а</w:t>
      </w:r>
      <w:r w:rsidR="00786758" w:rsidRPr="00171D60">
        <w:t xml:space="preserve"> или </w:t>
      </w:r>
      <w:r w:rsidR="0059635B" w:rsidRPr="00171D60">
        <w:t xml:space="preserve">статьи </w:t>
      </w:r>
      <w:r w:rsidR="00A961C9" w:rsidRPr="00171D60">
        <w:t xml:space="preserve">в Управление  академических исследований. </w:t>
      </w:r>
    </w:p>
    <w:p w:rsidR="000716E7" w:rsidRPr="00957A1E" w:rsidRDefault="00E226F7" w:rsidP="00171D60">
      <w:pPr>
        <w:shd w:val="clear" w:color="auto" w:fill="FFFFFF"/>
        <w:spacing w:after="120"/>
        <w:ind w:firstLine="708"/>
        <w:jc w:val="both"/>
      </w:pPr>
      <w:r>
        <w:t>6</w:t>
      </w:r>
      <w:r w:rsidR="005201E4" w:rsidRPr="00171D60">
        <w:t>.2.</w:t>
      </w:r>
      <w:r w:rsidR="005201E4" w:rsidRPr="00957A1E">
        <w:t xml:space="preserve"> </w:t>
      </w:r>
      <w:r>
        <w:t>С</w:t>
      </w:r>
      <w:r w:rsidR="005201E4" w:rsidRPr="00957A1E">
        <w:t>отрудники НИУ ВШЭ</w:t>
      </w:r>
      <w:r w:rsidR="00DA6CF3" w:rsidRPr="00171D60">
        <w:t xml:space="preserve"> </w:t>
      </w:r>
      <w:r w:rsidR="00A961C9" w:rsidRPr="00171D60">
        <w:t>в</w:t>
      </w:r>
      <w:r w:rsidR="0059635B" w:rsidRPr="00171D60">
        <w:t xml:space="preserve"> течение</w:t>
      </w:r>
      <w:r w:rsidR="00A961C9" w:rsidRPr="00171D60">
        <w:t xml:space="preserve"> </w:t>
      </w:r>
      <w:r w:rsidR="00A961C9" w:rsidRPr="00171D60">
        <w:rPr>
          <w:bCs/>
        </w:rPr>
        <w:t>3</w:t>
      </w:r>
      <w:r w:rsidR="0059635B" w:rsidRPr="00957A1E">
        <w:t xml:space="preserve"> (трех) рабочих дней</w:t>
      </w:r>
      <w:r w:rsidR="00A961C9" w:rsidRPr="00171D60">
        <w:t xml:space="preserve"> </w:t>
      </w:r>
      <w:r w:rsidR="00786758" w:rsidRPr="00171D60">
        <w:t xml:space="preserve">представляют </w:t>
      </w:r>
      <w:r w:rsidR="005201E4" w:rsidRPr="00171D60">
        <w:rPr>
          <w:bCs/>
        </w:rPr>
        <w:t>авансовый отчет</w:t>
      </w:r>
      <w:r w:rsidR="005201E4" w:rsidRPr="00171D60">
        <w:t>  в Управление бухгалтерского учета</w:t>
      </w:r>
      <w:r w:rsidR="00A961C9" w:rsidRPr="00171D60">
        <w:t xml:space="preserve">. Авансовый отчет подписывается командированным лицом. К отчету обязательно прилагаются </w:t>
      </w:r>
      <w:r w:rsidR="00A961C9" w:rsidRPr="00171D60">
        <w:rPr>
          <w:bCs/>
        </w:rPr>
        <w:t>оригиналы</w:t>
      </w:r>
      <w:r w:rsidR="00A961C9" w:rsidRPr="00171D60">
        <w:t> проездных документов</w:t>
      </w:r>
      <w:r w:rsidR="005201E4" w:rsidRPr="00171D60">
        <w:t>,</w:t>
      </w:r>
      <w:r w:rsidR="00A961C9" w:rsidRPr="00171D60">
        <w:t> </w:t>
      </w:r>
      <w:r w:rsidR="005201E4" w:rsidRPr="00171D60">
        <w:t xml:space="preserve">счетов </w:t>
      </w:r>
      <w:r w:rsidR="00A961C9" w:rsidRPr="00171D60">
        <w:t>из гостиницы</w:t>
      </w:r>
      <w:r w:rsidR="009F378F" w:rsidRPr="00171D60">
        <w:t>,</w:t>
      </w:r>
      <w:r w:rsidR="00A961C9" w:rsidRPr="00171D60">
        <w:t> </w:t>
      </w:r>
      <w:r w:rsidR="005201E4" w:rsidRPr="00171D60">
        <w:t xml:space="preserve">прочих </w:t>
      </w:r>
      <w:r w:rsidR="009F378F" w:rsidRPr="00171D60">
        <w:t xml:space="preserve">финансовых </w:t>
      </w:r>
      <w:r w:rsidR="00A961C9" w:rsidRPr="00171D60">
        <w:t>документ</w:t>
      </w:r>
      <w:r w:rsidR="009F378F" w:rsidRPr="00171D60">
        <w:t xml:space="preserve">ов, а также </w:t>
      </w:r>
      <w:r w:rsidR="00A961C9" w:rsidRPr="00171D60">
        <w:t xml:space="preserve"> копии страниц загранпаспорта </w:t>
      </w:r>
      <w:r w:rsidR="009F378F" w:rsidRPr="00171D60">
        <w:t>с отметками</w:t>
      </w:r>
      <w:r w:rsidR="00A961C9" w:rsidRPr="00171D60">
        <w:t xml:space="preserve"> о пересечении границы.</w:t>
      </w:r>
      <w:r w:rsidR="000716E7" w:rsidRPr="00171D60">
        <w:t xml:space="preserve"> </w:t>
      </w:r>
    </w:p>
    <w:p w:rsidR="006C18DA" w:rsidRPr="00171D60" w:rsidRDefault="00E226F7" w:rsidP="00171D60">
      <w:pPr>
        <w:shd w:val="clear" w:color="auto" w:fill="FFFFFF"/>
        <w:spacing w:after="120"/>
        <w:ind w:firstLine="708"/>
        <w:jc w:val="both"/>
        <w:rPr>
          <w:bCs/>
        </w:rPr>
      </w:pPr>
      <w:r>
        <w:t>6.</w:t>
      </w:r>
      <w:r>
        <w:rPr>
          <w:bCs/>
        </w:rPr>
        <w:t>3</w:t>
      </w:r>
      <w:r w:rsidR="009F378F" w:rsidRPr="00171D60">
        <w:rPr>
          <w:bCs/>
        </w:rPr>
        <w:t>.</w:t>
      </w:r>
      <w:r w:rsidR="009F378F" w:rsidRPr="00957A1E">
        <w:rPr>
          <w:bCs/>
        </w:rPr>
        <w:t xml:space="preserve"> </w:t>
      </w:r>
      <w:r w:rsidR="006C18DA" w:rsidRPr="00171D60">
        <w:rPr>
          <w:bCs/>
        </w:rPr>
        <w:t xml:space="preserve">В случае указанных </w:t>
      </w:r>
      <w:r>
        <w:rPr>
          <w:bCs/>
        </w:rPr>
        <w:t xml:space="preserve">в заявке </w:t>
      </w:r>
      <w:r w:rsidR="006C18DA" w:rsidRPr="00171D60">
        <w:rPr>
          <w:bCs/>
        </w:rPr>
        <w:t>дополнительных источников финансирования в соответствии с п.</w:t>
      </w:r>
      <w:r w:rsidR="00171D60">
        <w:rPr>
          <w:bCs/>
        </w:rPr>
        <w:t>4.10</w:t>
      </w:r>
      <w:r w:rsidR="0047129C">
        <w:rPr>
          <w:bCs/>
        </w:rPr>
        <w:t>.</w:t>
      </w:r>
      <w:r w:rsidR="0047129C" w:rsidRPr="00957A1E">
        <w:rPr>
          <w:bCs/>
        </w:rPr>
        <w:t xml:space="preserve"> </w:t>
      </w:r>
      <w:r w:rsidR="00BF72DD" w:rsidRPr="00171D60">
        <w:rPr>
          <w:bCs/>
        </w:rPr>
        <w:t xml:space="preserve">настоящего Положения сумма, превышающая выделенный Фондом объем финансирования, выплачивается из </w:t>
      </w:r>
      <w:r>
        <w:rPr>
          <w:bCs/>
        </w:rPr>
        <w:t>этих</w:t>
      </w:r>
      <w:r w:rsidRPr="00171D60">
        <w:rPr>
          <w:bCs/>
        </w:rPr>
        <w:t xml:space="preserve"> </w:t>
      </w:r>
      <w:r w:rsidR="00BF72DD" w:rsidRPr="00171D60">
        <w:rPr>
          <w:bCs/>
        </w:rPr>
        <w:t>источников.</w:t>
      </w:r>
    </w:p>
    <w:p w:rsidR="00A961C9" w:rsidRPr="00957A1E" w:rsidRDefault="006C5C9D" w:rsidP="00171D60">
      <w:pPr>
        <w:shd w:val="clear" w:color="auto" w:fill="FFFFFF"/>
        <w:tabs>
          <w:tab w:val="left" w:pos="708"/>
        </w:tabs>
        <w:spacing w:after="120"/>
        <w:jc w:val="both"/>
      </w:pPr>
      <w:r>
        <w:tab/>
      </w:r>
      <w:r w:rsidR="00E226F7">
        <w:t>6</w:t>
      </w:r>
      <w:r w:rsidR="009F378F" w:rsidRPr="00171D60">
        <w:t>.</w:t>
      </w:r>
      <w:r w:rsidR="00E226F7">
        <w:t>4</w:t>
      </w:r>
      <w:r w:rsidR="009F378F" w:rsidRPr="00171D60">
        <w:t>.</w:t>
      </w:r>
      <w:r w:rsidR="009F378F" w:rsidRPr="00957A1E">
        <w:t xml:space="preserve"> </w:t>
      </w:r>
      <w:r w:rsidR="0068305E" w:rsidRPr="00171D60">
        <w:t xml:space="preserve">В случае </w:t>
      </w:r>
      <w:r w:rsidR="00123D62" w:rsidRPr="00171D60">
        <w:t>не</w:t>
      </w:r>
      <w:r w:rsidR="009F378F" w:rsidRPr="00171D60">
        <w:t>представления отчетности в сроки, указанные в настояще</w:t>
      </w:r>
      <w:r w:rsidR="00171D60">
        <w:t>м</w:t>
      </w:r>
      <w:r w:rsidR="009F378F" w:rsidRPr="00171D60">
        <w:t xml:space="preserve"> </w:t>
      </w:r>
      <w:r w:rsidR="00171D60" w:rsidRPr="00171D60">
        <w:t>Положени</w:t>
      </w:r>
      <w:r w:rsidR="00171D60">
        <w:t>и</w:t>
      </w:r>
      <w:r w:rsidR="009F378F" w:rsidRPr="00171D60">
        <w:t xml:space="preserve">, </w:t>
      </w:r>
      <w:r w:rsidR="00E70041" w:rsidRPr="00171D60">
        <w:t>Фонд вправе приостановить финансирование поездки</w:t>
      </w:r>
      <w:r w:rsidR="0047129C">
        <w:t>.</w:t>
      </w:r>
    </w:p>
    <w:p w:rsidR="00A961C9" w:rsidRPr="003513D9" w:rsidRDefault="00A961C9" w:rsidP="000B2C92">
      <w:pPr>
        <w:shd w:val="clear" w:color="auto" w:fill="FFFFFF"/>
        <w:spacing w:after="120"/>
        <w:jc w:val="right"/>
      </w:pPr>
      <w:r w:rsidRPr="00C42AA1">
        <w:t xml:space="preserve">           </w:t>
      </w:r>
    </w:p>
    <w:p w:rsidR="00EF6A24" w:rsidRPr="003513D9" w:rsidRDefault="00EF6A24" w:rsidP="00AD7F7C">
      <w:pPr>
        <w:shd w:val="clear" w:color="auto" w:fill="FFFFFF"/>
        <w:jc w:val="right"/>
      </w:pPr>
    </w:p>
    <w:sectPr w:rsidR="00EF6A24" w:rsidRPr="003513D9" w:rsidSect="003513D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FD" w:rsidRDefault="008E0FFD">
      <w:r>
        <w:separator/>
      </w:r>
    </w:p>
  </w:endnote>
  <w:endnote w:type="continuationSeparator" w:id="0">
    <w:p w:rsidR="008E0FFD" w:rsidRDefault="008E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FD" w:rsidRDefault="008E0FFD">
      <w:r>
        <w:separator/>
      </w:r>
    </w:p>
  </w:footnote>
  <w:footnote w:type="continuationSeparator" w:id="0">
    <w:p w:rsidR="008E0FFD" w:rsidRDefault="008E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16C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34669"/>
    <w:multiLevelType w:val="multilevel"/>
    <w:tmpl w:val="FAB0E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3">
    <w:nsid w:val="10A122BE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7455A1"/>
    <w:multiLevelType w:val="hybridMultilevel"/>
    <w:tmpl w:val="948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3052E"/>
    <w:multiLevelType w:val="multilevel"/>
    <w:tmpl w:val="BE1CE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07C68F0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EAB0DBC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E74547"/>
    <w:multiLevelType w:val="multilevel"/>
    <w:tmpl w:val="D146F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072184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27D6989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3995DA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4C3149A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5B53702"/>
    <w:multiLevelType w:val="hybridMultilevel"/>
    <w:tmpl w:val="EBDAAD38"/>
    <w:lvl w:ilvl="0" w:tplc="E354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A0910"/>
    <w:multiLevelType w:val="multilevel"/>
    <w:tmpl w:val="16C4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6620A0"/>
    <w:multiLevelType w:val="multilevel"/>
    <w:tmpl w:val="8E3E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E14CF"/>
    <w:multiLevelType w:val="hybridMultilevel"/>
    <w:tmpl w:val="6A1088E2"/>
    <w:lvl w:ilvl="0" w:tplc="3C1685F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04B30"/>
    <w:multiLevelType w:val="multilevel"/>
    <w:tmpl w:val="6EB6B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D3A5C72"/>
    <w:multiLevelType w:val="hybridMultilevel"/>
    <w:tmpl w:val="17C89D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18"/>
  </w:num>
  <w:num w:numId="9">
    <w:abstractNumId w:val="10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C9"/>
    <w:rsid w:val="00031AC6"/>
    <w:rsid w:val="00032378"/>
    <w:rsid w:val="00040D7D"/>
    <w:rsid w:val="000472FF"/>
    <w:rsid w:val="00061FD0"/>
    <w:rsid w:val="000716E7"/>
    <w:rsid w:val="00091C10"/>
    <w:rsid w:val="000A013B"/>
    <w:rsid w:val="000B20DB"/>
    <w:rsid w:val="000B2C92"/>
    <w:rsid w:val="000C6ADC"/>
    <w:rsid w:val="000E712F"/>
    <w:rsid w:val="000E7C16"/>
    <w:rsid w:val="000F2227"/>
    <w:rsid w:val="001024EB"/>
    <w:rsid w:val="0012339E"/>
    <w:rsid w:val="00123D62"/>
    <w:rsid w:val="00146865"/>
    <w:rsid w:val="00161CC3"/>
    <w:rsid w:val="0016500D"/>
    <w:rsid w:val="00171C61"/>
    <w:rsid w:val="00171D60"/>
    <w:rsid w:val="00176989"/>
    <w:rsid w:val="00181118"/>
    <w:rsid w:val="00190BA5"/>
    <w:rsid w:val="001958C0"/>
    <w:rsid w:val="001C3D72"/>
    <w:rsid w:val="001C656E"/>
    <w:rsid w:val="001D0779"/>
    <w:rsid w:val="001D3C3D"/>
    <w:rsid w:val="001F0638"/>
    <w:rsid w:val="00207233"/>
    <w:rsid w:val="00210EBC"/>
    <w:rsid w:val="00227451"/>
    <w:rsid w:val="00227C4C"/>
    <w:rsid w:val="00227C78"/>
    <w:rsid w:val="0023356F"/>
    <w:rsid w:val="00250403"/>
    <w:rsid w:val="00266EC0"/>
    <w:rsid w:val="00267873"/>
    <w:rsid w:val="00284D68"/>
    <w:rsid w:val="002876C3"/>
    <w:rsid w:val="0029167B"/>
    <w:rsid w:val="002B2928"/>
    <w:rsid w:val="002B5CBC"/>
    <w:rsid w:val="002C0096"/>
    <w:rsid w:val="002C317B"/>
    <w:rsid w:val="002D4046"/>
    <w:rsid w:val="002D58D5"/>
    <w:rsid w:val="002D69FE"/>
    <w:rsid w:val="002E72B2"/>
    <w:rsid w:val="003035B6"/>
    <w:rsid w:val="00304009"/>
    <w:rsid w:val="0033380C"/>
    <w:rsid w:val="0034011C"/>
    <w:rsid w:val="003402D1"/>
    <w:rsid w:val="00342510"/>
    <w:rsid w:val="00342E7C"/>
    <w:rsid w:val="00347E53"/>
    <w:rsid w:val="003513D9"/>
    <w:rsid w:val="00355233"/>
    <w:rsid w:val="00395DDB"/>
    <w:rsid w:val="0039682B"/>
    <w:rsid w:val="003A65AD"/>
    <w:rsid w:val="003B24E2"/>
    <w:rsid w:val="003C0287"/>
    <w:rsid w:val="003E2BCC"/>
    <w:rsid w:val="00407F45"/>
    <w:rsid w:val="00415B1C"/>
    <w:rsid w:val="004228DC"/>
    <w:rsid w:val="0042394C"/>
    <w:rsid w:val="00427FC6"/>
    <w:rsid w:val="00463057"/>
    <w:rsid w:val="0047129C"/>
    <w:rsid w:val="00473EFB"/>
    <w:rsid w:val="00482D56"/>
    <w:rsid w:val="00483395"/>
    <w:rsid w:val="004A05BA"/>
    <w:rsid w:val="004C1D96"/>
    <w:rsid w:val="004C33D4"/>
    <w:rsid w:val="004C629D"/>
    <w:rsid w:val="004C7236"/>
    <w:rsid w:val="004D3889"/>
    <w:rsid w:val="004D4921"/>
    <w:rsid w:val="004E324C"/>
    <w:rsid w:val="004E64EB"/>
    <w:rsid w:val="004F693D"/>
    <w:rsid w:val="00503AF2"/>
    <w:rsid w:val="0051550D"/>
    <w:rsid w:val="005201E4"/>
    <w:rsid w:val="00524BD3"/>
    <w:rsid w:val="0053015C"/>
    <w:rsid w:val="00534D91"/>
    <w:rsid w:val="00555B0F"/>
    <w:rsid w:val="00562CA1"/>
    <w:rsid w:val="00564507"/>
    <w:rsid w:val="00564696"/>
    <w:rsid w:val="005876B1"/>
    <w:rsid w:val="0059571F"/>
    <w:rsid w:val="0059635B"/>
    <w:rsid w:val="005E0D3D"/>
    <w:rsid w:val="005E2837"/>
    <w:rsid w:val="005E3BDD"/>
    <w:rsid w:val="005F61F2"/>
    <w:rsid w:val="00605638"/>
    <w:rsid w:val="0060772C"/>
    <w:rsid w:val="006118BD"/>
    <w:rsid w:val="006128E0"/>
    <w:rsid w:val="00622D81"/>
    <w:rsid w:val="00630BD0"/>
    <w:rsid w:val="00643FCF"/>
    <w:rsid w:val="006533F2"/>
    <w:rsid w:val="00663F0C"/>
    <w:rsid w:val="00664226"/>
    <w:rsid w:val="0067685D"/>
    <w:rsid w:val="0068305E"/>
    <w:rsid w:val="00685181"/>
    <w:rsid w:val="00687748"/>
    <w:rsid w:val="00693C04"/>
    <w:rsid w:val="006A25EF"/>
    <w:rsid w:val="006A59FA"/>
    <w:rsid w:val="006C18DA"/>
    <w:rsid w:val="006C3AB8"/>
    <w:rsid w:val="006C5C9D"/>
    <w:rsid w:val="006D4397"/>
    <w:rsid w:val="006D521C"/>
    <w:rsid w:val="006F75F6"/>
    <w:rsid w:val="00706169"/>
    <w:rsid w:val="0073029D"/>
    <w:rsid w:val="00743E97"/>
    <w:rsid w:val="00754184"/>
    <w:rsid w:val="007578F3"/>
    <w:rsid w:val="00765157"/>
    <w:rsid w:val="00765B59"/>
    <w:rsid w:val="007675E5"/>
    <w:rsid w:val="00786758"/>
    <w:rsid w:val="00787B87"/>
    <w:rsid w:val="0079121A"/>
    <w:rsid w:val="007D2B0B"/>
    <w:rsid w:val="007D5566"/>
    <w:rsid w:val="007D6AE1"/>
    <w:rsid w:val="007D739A"/>
    <w:rsid w:val="007E0B7C"/>
    <w:rsid w:val="0080199D"/>
    <w:rsid w:val="008066DC"/>
    <w:rsid w:val="00830934"/>
    <w:rsid w:val="00834879"/>
    <w:rsid w:val="00871F7B"/>
    <w:rsid w:val="008730AB"/>
    <w:rsid w:val="008823DA"/>
    <w:rsid w:val="00886898"/>
    <w:rsid w:val="00887C8A"/>
    <w:rsid w:val="00890636"/>
    <w:rsid w:val="00895FBB"/>
    <w:rsid w:val="008A266E"/>
    <w:rsid w:val="008B11AA"/>
    <w:rsid w:val="008C2F5E"/>
    <w:rsid w:val="008D1C1F"/>
    <w:rsid w:val="008D7597"/>
    <w:rsid w:val="008E0FFD"/>
    <w:rsid w:val="008E12B2"/>
    <w:rsid w:val="0090210C"/>
    <w:rsid w:val="00903D5E"/>
    <w:rsid w:val="00911D99"/>
    <w:rsid w:val="00912EE9"/>
    <w:rsid w:val="00916EAE"/>
    <w:rsid w:val="00921EAF"/>
    <w:rsid w:val="0093206D"/>
    <w:rsid w:val="0093501D"/>
    <w:rsid w:val="00937005"/>
    <w:rsid w:val="0094700E"/>
    <w:rsid w:val="00947C7A"/>
    <w:rsid w:val="00950B77"/>
    <w:rsid w:val="00955BEF"/>
    <w:rsid w:val="00957A1E"/>
    <w:rsid w:val="00962D95"/>
    <w:rsid w:val="00970677"/>
    <w:rsid w:val="00973D4D"/>
    <w:rsid w:val="00980052"/>
    <w:rsid w:val="0098180A"/>
    <w:rsid w:val="009904FC"/>
    <w:rsid w:val="00994867"/>
    <w:rsid w:val="009A7F35"/>
    <w:rsid w:val="009C5E78"/>
    <w:rsid w:val="009D2163"/>
    <w:rsid w:val="009D3CE4"/>
    <w:rsid w:val="009F378F"/>
    <w:rsid w:val="009F47DE"/>
    <w:rsid w:val="009F4BB3"/>
    <w:rsid w:val="00A0722A"/>
    <w:rsid w:val="00A103B7"/>
    <w:rsid w:val="00A2743A"/>
    <w:rsid w:val="00A45AA7"/>
    <w:rsid w:val="00A53CF6"/>
    <w:rsid w:val="00A64699"/>
    <w:rsid w:val="00A64CDC"/>
    <w:rsid w:val="00A650CE"/>
    <w:rsid w:val="00A66C27"/>
    <w:rsid w:val="00A70DDB"/>
    <w:rsid w:val="00A730D8"/>
    <w:rsid w:val="00A7690F"/>
    <w:rsid w:val="00A86F54"/>
    <w:rsid w:val="00A961C9"/>
    <w:rsid w:val="00AA6F5D"/>
    <w:rsid w:val="00AB0A6C"/>
    <w:rsid w:val="00AB4078"/>
    <w:rsid w:val="00AC1980"/>
    <w:rsid w:val="00AD3AE5"/>
    <w:rsid w:val="00AD5144"/>
    <w:rsid w:val="00AD651E"/>
    <w:rsid w:val="00AD7F7C"/>
    <w:rsid w:val="00B14AC5"/>
    <w:rsid w:val="00B21F28"/>
    <w:rsid w:val="00B321B9"/>
    <w:rsid w:val="00B344D7"/>
    <w:rsid w:val="00B40FF5"/>
    <w:rsid w:val="00B453E4"/>
    <w:rsid w:val="00B5212C"/>
    <w:rsid w:val="00B62071"/>
    <w:rsid w:val="00B643BD"/>
    <w:rsid w:val="00B75B73"/>
    <w:rsid w:val="00B8692D"/>
    <w:rsid w:val="00B97AF5"/>
    <w:rsid w:val="00BB56C8"/>
    <w:rsid w:val="00BC0EF7"/>
    <w:rsid w:val="00BC4FCF"/>
    <w:rsid w:val="00BC70A3"/>
    <w:rsid w:val="00BE13CC"/>
    <w:rsid w:val="00BE520C"/>
    <w:rsid w:val="00BF058F"/>
    <w:rsid w:val="00BF584D"/>
    <w:rsid w:val="00BF72DD"/>
    <w:rsid w:val="00C053A5"/>
    <w:rsid w:val="00C318DD"/>
    <w:rsid w:val="00C35A76"/>
    <w:rsid w:val="00C42AA1"/>
    <w:rsid w:val="00C535AD"/>
    <w:rsid w:val="00C61C62"/>
    <w:rsid w:val="00C65BD3"/>
    <w:rsid w:val="00C714CF"/>
    <w:rsid w:val="00C833DC"/>
    <w:rsid w:val="00C85D28"/>
    <w:rsid w:val="00C917A3"/>
    <w:rsid w:val="00C92B3E"/>
    <w:rsid w:val="00C94079"/>
    <w:rsid w:val="00C979D6"/>
    <w:rsid w:val="00CC066A"/>
    <w:rsid w:val="00CD24EE"/>
    <w:rsid w:val="00CD3F30"/>
    <w:rsid w:val="00D02D01"/>
    <w:rsid w:val="00D059A4"/>
    <w:rsid w:val="00D27A2A"/>
    <w:rsid w:val="00D41A04"/>
    <w:rsid w:val="00D45C8B"/>
    <w:rsid w:val="00D50E12"/>
    <w:rsid w:val="00D63F47"/>
    <w:rsid w:val="00D8331C"/>
    <w:rsid w:val="00DA6CF3"/>
    <w:rsid w:val="00DB17BF"/>
    <w:rsid w:val="00DB3CAB"/>
    <w:rsid w:val="00DE111C"/>
    <w:rsid w:val="00DF154C"/>
    <w:rsid w:val="00DF1571"/>
    <w:rsid w:val="00DF631B"/>
    <w:rsid w:val="00E02052"/>
    <w:rsid w:val="00E05857"/>
    <w:rsid w:val="00E11DCA"/>
    <w:rsid w:val="00E226F7"/>
    <w:rsid w:val="00E24F8E"/>
    <w:rsid w:val="00E278FC"/>
    <w:rsid w:val="00E30A5B"/>
    <w:rsid w:val="00E318DA"/>
    <w:rsid w:val="00E44B56"/>
    <w:rsid w:val="00E5245D"/>
    <w:rsid w:val="00E5269F"/>
    <w:rsid w:val="00E607C6"/>
    <w:rsid w:val="00E62DBA"/>
    <w:rsid w:val="00E70041"/>
    <w:rsid w:val="00E73711"/>
    <w:rsid w:val="00EB0335"/>
    <w:rsid w:val="00EC6F21"/>
    <w:rsid w:val="00EF2327"/>
    <w:rsid w:val="00EF2D93"/>
    <w:rsid w:val="00EF31F7"/>
    <w:rsid w:val="00EF6A24"/>
    <w:rsid w:val="00F06EBA"/>
    <w:rsid w:val="00F11A8A"/>
    <w:rsid w:val="00F13CC8"/>
    <w:rsid w:val="00F23BD5"/>
    <w:rsid w:val="00F4205A"/>
    <w:rsid w:val="00F45DB1"/>
    <w:rsid w:val="00F5495D"/>
    <w:rsid w:val="00F60640"/>
    <w:rsid w:val="00F62422"/>
    <w:rsid w:val="00F71897"/>
    <w:rsid w:val="00F82AC9"/>
    <w:rsid w:val="00F86A9D"/>
    <w:rsid w:val="00F9524D"/>
    <w:rsid w:val="00FB2D7B"/>
    <w:rsid w:val="00FC0FA6"/>
    <w:rsid w:val="00FC3424"/>
    <w:rsid w:val="00FD711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C9"/>
    <w:rPr>
      <w:color w:val="144391"/>
      <w:u w:val="single"/>
    </w:rPr>
  </w:style>
  <w:style w:type="paragraph" w:styleId="a4">
    <w:name w:val="Balloon Text"/>
    <w:basedOn w:val="a"/>
    <w:semiHidden/>
    <w:rsid w:val="00A961C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35A76"/>
    <w:rPr>
      <w:sz w:val="20"/>
      <w:szCs w:val="20"/>
    </w:rPr>
  </w:style>
  <w:style w:type="character" w:styleId="a6">
    <w:name w:val="footnote reference"/>
    <w:semiHidden/>
    <w:rsid w:val="00C35A76"/>
    <w:rPr>
      <w:vertAlign w:val="superscript"/>
    </w:rPr>
  </w:style>
  <w:style w:type="paragraph" w:styleId="a7">
    <w:name w:val="header"/>
    <w:basedOn w:val="a"/>
    <w:rsid w:val="006A59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C70A3"/>
  </w:style>
  <w:style w:type="character" w:styleId="a9">
    <w:name w:val="annotation reference"/>
    <w:semiHidden/>
    <w:rsid w:val="001C656E"/>
    <w:rPr>
      <w:sz w:val="16"/>
      <w:szCs w:val="16"/>
    </w:rPr>
  </w:style>
  <w:style w:type="paragraph" w:styleId="aa">
    <w:name w:val="annotation text"/>
    <w:basedOn w:val="a"/>
    <w:semiHidden/>
    <w:rsid w:val="001C656E"/>
    <w:rPr>
      <w:sz w:val="20"/>
      <w:szCs w:val="20"/>
    </w:rPr>
  </w:style>
  <w:style w:type="paragraph" w:styleId="ab">
    <w:name w:val="annotation subject"/>
    <w:basedOn w:val="aa"/>
    <w:next w:val="aa"/>
    <w:semiHidden/>
    <w:rsid w:val="001C656E"/>
    <w:rPr>
      <w:b/>
      <w:bCs/>
    </w:rPr>
  </w:style>
  <w:style w:type="table" w:styleId="ac">
    <w:name w:val="Table Grid"/>
    <w:basedOn w:val="a1"/>
    <w:rsid w:val="0026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C9"/>
    <w:rPr>
      <w:color w:val="144391"/>
      <w:u w:val="single"/>
    </w:rPr>
  </w:style>
  <w:style w:type="paragraph" w:styleId="a4">
    <w:name w:val="Balloon Text"/>
    <w:basedOn w:val="a"/>
    <w:semiHidden/>
    <w:rsid w:val="00A961C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35A76"/>
    <w:rPr>
      <w:sz w:val="20"/>
      <w:szCs w:val="20"/>
    </w:rPr>
  </w:style>
  <w:style w:type="character" w:styleId="a6">
    <w:name w:val="footnote reference"/>
    <w:semiHidden/>
    <w:rsid w:val="00C35A76"/>
    <w:rPr>
      <w:vertAlign w:val="superscript"/>
    </w:rPr>
  </w:style>
  <w:style w:type="paragraph" w:styleId="a7">
    <w:name w:val="header"/>
    <w:basedOn w:val="a"/>
    <w:rsid w:val="006A59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C70A3"/>
  </w:style>
  <w:style w:type="character" w:styleId="a9">
    <w:name w:val="annotation reference"/>
    <w:semiHidden/>
    <w:rsid w:val="001C656E"/>
    <w:rPr>
      <w:sz w:val="16"/>
      <w:szCs w:val="16"/>
    </w:rPr>
  </w:style>
  <w:style w:type="paragraph" w:styleId="aa">
    <w:name w:val="annotation text"/>
    <w:basedOn w:val="a"/>
    <w:semiHidden/>
    <w:rsid w:val="001C656E"/>
    <w:rPr>
      <w:sz w:val="20"/>
      <w:szCs w:val="20"/>
    </w:rPr>
  </w:style>
  <w:style w:type="paragraph" w:styleId="ab">
    <w:name w:val="annotation subject"/>
    <w:basedOn w:val="aa"/>
    <w:next w:val="aa"/>
    <w:semiHidden/>
    <w:rsid w:val="001C656E"/>
    <w:rPr>
      <w:b/>
      <w:bCs/>
    </w:rPr>
  </w:style>
  <w:style w:type="table" w:styleId="ac">
    <w:name w:val="Table Grid"/>
    <w:basedOn w:val="a1"/>
    <w:rsid w:val="0026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3A87-054E-482B-85C0-F7431458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академической мобильности Программы «Научный фонд НИУ ВШЭ»</vt:lpstr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академической мобильности Программы «Научный фонд НИУ ВШЭ»</dc:title>
  <dc:creator>User</dc:creator>
  <cp:lastModifiedBy>Пользователь Windows</cp:lastModifiedBy>
  <cp:revision>12</cp:revision>
  <cp:lastPrinted>2014-07-01T07:17:00Z</cp:lastPrinted>
  <dcterms:created xsi:type="dcterms:W3CDTF">2016-02-10T07:04:00Z</dcterms:created>
  <dcterms:modified xsi:type="dcterms:W3CDTF">2016-03-11T15:25:00Z</dcterms:modified>
</cp:coreProperties>
</file>