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1EA0" w14:textId="77777777" w:rsidR="00AF7772" w:rsidRPr="00B412DD" w:rsidRDefault="00B412DD">
      <w:pPr>
        <w:spacing w:after="150"/>
        <w:jc w:val="both"/>
        <w:rPr>
          <w:lang w:val="en-US"/>
        </w:rPr>
      </w:pPr>
      <w:r w:rsidRPr="00B412DD">
        <w:rPr>
          <w:rFonts w:ascii="Times" w:hAnsi="Times" w:cs="Times"/>
          <w:i/>
          <w:sz w:val="24"/>
          <w:lang w:val="en-US"/>
        </w:rPr>
        <w:t>Elena Dragalina-Chernaya (National Research University Higher School of Economics, Moscow, Russia)</w:t>
      </w:r>
    </w:p>
    <w:p w14:paraId="78E8971F" w14:textId="77777777" w:rsidR="00AF7772" w:rsidRPr="00B412DD" w:rsidRDefault="00B412DD">
      <w:pPr>
        <w:spacing w:after="150"/>
        <w:jc w:val="both"/>
        <w:rPr>
          <w:lang w:val="en-US"/>
        </w:rPr>
      </w:pPr>
      <w:r w:rsidRPr="00B412DD">
        <w:rPr>
          <w:rFonts w:ascii="Times" w:hAnsi="Times" w:cs="Times"/>
          <w:b/>
          <w:sz w:val="24"/>
          <w:lang w:val="en-US"/>
        </w:rPr>
        <w:t>Consequences, Grounding and Design in the Logic of Modernity</w:t>
      </w:r>
    </w:p>
    <w:p w14:paraId="0DFA668B" w14:textId="77777777" w:rsidR="00AF7772" w:rsidRPr="00B412DD" w:rsidRDefault="00B412DD">
      <w:pPr>
        <w:spacing w:after="150"/>
        <w:jc w:val="both"/>
        <w:rPr>
          <w:lang w:val="en-US"/>
        </w:rPr>
      </w:pPr>
      <w:r w:rsidRPr="00B412DD">
        <w:rPr>
          <w:rFonts w:ascii="Times" w:hAnsi="Times" w:cs="Times"/>
          <w:i/>
          <w:sz w:val="24"/>
          <w:lang w:val="en-US"/>
        </w:rPr>
        <w:t xml:space="preserve">Abstract: </w:t>
      </w:r>
      <w:r w:rsidRPr="00B412DD">
        <w:rPr>
          <w:rFonts w:ascii="Times" w:hAnsi="Times" w:cs="Times"/>
          <w:sz w:val="24"/>
          <w:lang w:val="en-US"/>
        </w:rPr>
        <w:t xml:space="preserve">Alfred Tarski has famously distinguished between </w:t>
      </w:r>
      <w:bookmarkStart w:id="0" w:name="_Hlk511546748"/>
      <w:r w:rsidRPr="00B412DD">
        <w:rPr>
          <w:rFonts w:ascii="Times" w:hAnsi="Times" w:cs="Times"/>
          <w:sz w:val="24"/>
          <w:lang w:val="en-US"/>
        </w:rPr>
        <w:t>formal and material consequences</w:t>
      </w:r>
      <w:bookmarkEnd w:id="0"/>
      <w:r w:rsidRPr="00B412DD">
        <w:rPr>
          <w:rFonts w:ascii="Times" w:hAnsi="Times" w:cs="Times"/>
          <w:sz w:val="24"/>
          <w:lang w:val="en-US"/>
        </w:rPr>
        <w:t xml:space="preserve">. Tarski’s distinction essentially differs from the scholastic </w:t>
      </w:r>
      <w:bookmarkStart w:id="1" w:name="_Hlk511547226"/>
      <w:r w:rsidRPr="00B412DD">
        <w:rPr>
          <w:rFonts w:ascii="Times" w:hAnsi="Times" w:cs="Times"/>
          <w:sz w:val="24"/>
          <w:lang w:val="en-US"/>
        </w:rPr>
        <w:t xml:space="preserve">dichotomy of </w:t>
      </w:r>
      <w:bookmarkEnd w:id="1"/>
      <w:r w:rsidRPr="00B412DD">
        <w:rPr>
          <w:rFonts w:ascii="Times" w:hAnsi="Times" w:cs="Times"/>
          <w:i/>
          <w:sz w:val="24"/>
          <w:lang w:val="en-US"/>
        </w:rPr>
        <w:t xml:space="preserve">consequentia </w:t>
      </w:r>
      <w:proofErr w:type="spellStart"/>
      <w:r w:rsidRPr="00B412DD">
        <w:rPr>
          <w:rFonts w:ascii="Times" w:hAnsi="Times" w:cs="Times"/>
          <w:i/>
          <w:sz w:val="24"/>
          <w:lang w:val="en-US"/>
        </w:rPr>
        <w:t>formalis</w:t>
      </w:r>
      <w:proofErr w:type="spellEnd"/>
      <w:r w:rsidRPr="00B412DD">
        <w:rPr>
          <w:rFonts w:ascii="Times" w:hAnsi="Times" w:cs="Times"/>
          <w:sz w:val="24"/>
          <w:lang w:val="en-US"/>
        </w:rPr>
        <w:t xml:space="preserve"> and </w:t>
      </w:r>
      <w:r w:rsidRPr="00B412DD">
        <w:rPr>
          <w:rFonts w:ascii="Times" w:hAnsi="Times" w:cs="Times"/>
          <w:i/>
          <w:sz w:val="24"/>
          <w:lang w:val="en-US"/>
        </w:rPr>
        <w:t xml:space="preserve">consequentia </w:t>
      </w:r>
      <w:proofErr w:type="spellStart"/>
      <w:r w:rsidRPr="00B412DD">
        <w:rPr>
          <w:rFonts w:ascii="Times" w:hAnsi="Times" w:cs="Times"/>
          <w:i/>
          <w:sz w:val="24"/>
          <w:lang w:val="en-US"/>
        </w:rPr>
        <w:t>materialis</w:t>
      </w:r>
      <w:proofErr w:type="spellEnd"/>
      <w:r w:rsidRPr="00B412DD">
        <w:rPr>
          <w:rFonts w:ascii="Times" w:hAnsi="Times" w:cs="Times"/>
          <w:sz w:val="24"/>
          <w:lang w:val="en-US"/>
        </w:rPr>
        <w:t xml:space="preserve">. This talk focuses on the ontology of formal </w:t>
      </w:r>
      <w:r w:rsidR="00D40B31" w:rsidRPr="00D40B31">
        <w:rPr>
          <w:rFonts w:ascii="Times" w:hAnsi="Times" w:cs="Times"/>
          <w:sz w:val="24"/>
          <w:lang w:val="en-US"/>
        </w:rPr>
        <w:t xml:space="preserve">and material </w:t>
      </w:r>
      <w:r w:rsidRPr="00B412DD">
        <w:rPr>
          <w:rFonts w:ascii="Times" w:hAnsi="Times" w:cs="Times"/>
          <w:sz w:val="24"/>
          <w:lang w:val="en-US"/>
        </w:rPr>
        <w:t xml:space="preserve">consequences and their relation to the grounding and design in some logical doctrines of modernity. It </w:t>
      </w:r>
      <w:proofErr w:type="spellStart"/>
      <w:r w:rsidRPr="00B412DD">
        <w:rPr>
          <w:rFonts w:ascii="Times" w:hAnsi="Times" w:cs="Times"/>
          <w:sz w:val="24"/>
          <w:lang w:val="en-US"/>
        </w:rPr>
        <w:t>endeavours</w:t>
      </w:r>
      <w:proofErr w:type="spellEnd"/>
      <w:r w:rsidRPr="00B412DD">
        <w:rPr>
          <w:rFonts w:ascii="Times" w:hAnsi="Times" w:cs="Times"/>
          <w:sz w:val="24"/>
          <w:lang w:val="en-US"/>
        </w:rPr>
        <w:t xml:space="preserve"> to reveal in these doctrines several paths of mediation between the ontological grounds of medieval logic, on the one hand, and model-theoretical and proof-theoretical approaches in the 20th century logic, on the other hand.</w:t>
      </w:r>
    </w:p>
    <w:p w14:paraId="5A3CA15C" w14:textId="77777777" w:rsidR="00AF7772" w:rsidRPr="00B412DD" w:rsidRDefault="00B412DD">
      <w:pPr>
        <w:jc w:val="both"/>
        <w:rPr>
          <w:lang w:val="en-US"/>
        </w:rPr>
      </w:pPr>
      <w:r w:rsidRPr="00B412DD">
        <w:rPr>
          <w:rFonts w:ascii="Times New Roman" w:hAnsi="Times New Roman" w:cs="Times New Roman"/>
          <w:sz w:val="24"/>
          <w:lang w:val="en-US"/>
        </w:rPr>
        <w:t xml:space="preserve">It is now customary to distinguish between Parisian and English traditions in interpreting the dichotomy of formal and material consequences in 14th century logic.  The first tradition (e.g., John Buridan, Albert of Saxony, </w:t>
      </w:r>
      <w:proofErr w:type="spellStart"/>
      <w:r w:rsidRPr="00B412DD">
        <w:rPr>
          <w:rFonts w:ascii="Times New Roman" w:hAnsi="Times New Roman" w:cs="Times New Roman"/>
          <w:sz w:val="24"/>
          <w:lang w:val="en-US"/>
        </w:rPr>
        <w:t>Marsilius</w:t>
      </w:r>
      <w:proofErr w:type="spellEnd"/>
      <w:r w:rsidRPr="00B412DD">
        <w:rPr>
          <w:rFonts w:ascii="Times New Roman" w:hAnsi="Times New Roman" w:cs="Times New Roman"/>
          <w:sz w:val="24"/>
          <w:lang w:val="en-US"/>
        </w:rPr>
        <w:t xml:space="preserve"> of </w:t>
      </w:r>
      <w:proofErr w:type="spellStart"/>
      <w:r w:rsidRPr="00B412DD">
        <w:rPr>
          <w:rFonts w:ascii="Times New Roman" w:hAnsi="Times New Roman" w:cs="Times New Roman"/>
          <w:sz w:val="24"/>
          <w:lang w:val="en-US"/>
        </w:rPr>
        <w:t>Inghen</w:t>
      </w:r>
      <w:proofErr w:type="spellEnd"/>
      <w:r w:rsidRPr="00B412DD">
        <w:rPr>
          <w:rFonts w:ascii="Times New Roman" w:hAnsi="Times New Roman" w:cs="Times New Roman"/>
          <w:sz w:val="24"/>
          <w:lang w:val="en-US"/>
        </w:rPr>
        <w:t xml:space="preserve">) holds that a consequence is formal if it is     invariant under all substitutions for its categorematic terms. According to the second tradition (e.g., Richard Billingham, Robert </w:t>
      </w:r>
      <w:proofErr w:type="spellStart"/>
      <w:r w:rsidRPr="00B412DD">
        <w:rPr>
          <w:rFonts w:ascii="Times New Roman" w:hAnsi="Times New Roman" w:cs="Times New Roman"/>
          <w:sz w:val="24"/>
          <w:lang w:val="en-US"/>
        </w:rPr>
        <w:t>Fland</w:t>
      </w:r>
      <w:proofErr w:type="spellEnd"/>
      <w:r w:rsidRPr="00B412DD">
        <w:rPr>
          <w:rFonts w:ascii="Times New Roman" w:hAnsi="Times New Roman" w:cs="Times New Roman"/>
          <w:sz w:val="24"/>
          <w:lang w:val="en-US"/>
        </w:rPr>
        <w:t xml:space="preserve">, Ralph Strode, Richard Lavenham), the understanding of the antecedent of a formal consequence should contain the understanding of the consequent. Thus, English tradition appeals to the psychologically loaded category of understanding rather than syntactic structures or semantic variations. Does this mean that the English Scholastics psychologized the formal consequence? I am going to suggest that the idea of the formal understanding grounds formality not only </w:t>
      </w:r>
      <w:r w:rsidR="00C81880">
        <w:rPr>
          <w:rFonts w:ascii="Times New Roman" w:hAnsi="Times New Roman" w:cs="Times New Roman"/>
          <w:sz w:val="24"/>
          <w:lang w:val="en-US"/>
        </w:rPr>
        <w:t>on</w:t>
      </w:r>
      <w:r w:rsidRPr="00B412DD">
        <w:rPr>
          <w:rFonts w:ascii="Times New Roman" w:hAnsi="Times New Roman" w:cs="Times New Roman"/>
          <w:sz w:val="24"/>
          <w:lang w:val="en-US"/>
        </w:rPr>
        <w:t xml:space="preserve"> our power of understanding, i.e.  intelligibility or imaginability, but also </w:t>
      </w:r>
      <w:r w:rsidR="00C81880">
        <w:rPr>
          <w:rFonts w:ascii="Times New Roman" w:hAnsi="Times New Roman" w:cs="Times New Roman"/>
          <w:sz w:val="24"/>
          <w:lang w:val="en-US"/>
        </w:rPr>
        <w:t>on</w:t>
      </w:r>
      <w:r w:rsidRPr="00B412DD">
        <w:rPr>
          <w:rFonts w:ascii="Times New Roman" w:hAnsi="Times New Roman" w:cs="Times New Roman"/>
          <w:sz w:val="24"/>
          <w:lang w:val="en-US"/>
        </w:rPr>
        <w:t xml:space="preserve"> ontology, i.e. on internal (formal, transcendental) relations which unite the two terms of the judgement due to the very nature of these terms.  For Scholastics, internal relations are expressed by the eternal truths</w:t>
      </w:r>
      <w:r w:rsidRPr="00B412DD">
        <w:rPr>
          <w:rFonts w:ascii="Times" w:hAnsi="Times" w:cs="Times"/>
          <w:sz w:val="24"/>
          <w:lang w:val="en-US"/>
        </w:rPr>
        <w:t xml:space="preserve"> </w:t>
      </w:r>
      <w:r w:rsidRPr="00B412DD">
        <w:rPr>
          <w:rFonts w:ascii="Times New Roman" w:hAnsi="Times New Roman" w:cs="Times New Roman"/>
          <w:sz w:val="24"/>
          <w:lang w:val="en-US"/>
        </w:rPr>
        <w:t xml:space="preserve">rooted not in the real but in potential being.   </w:t>
      </w:r>
    </w:p>
    <w:p w14:paraId="63072F78" w14:textId="77777777" w:rsidR="00AF7772" w:rsidRPr="00C06E27" w:rsidRDefault="00B412DD">
      <w:pPr>
        <w:jc w:val="both"/>
        <w:rPr>
          <w:rFonts w:ascii="Times New Roman" w:hAnsi="Times New Roman" w:cs="Times New Roman"/>
          <w:sz w:val="24"/>
          <w:lang w:val="en-US"/>
        </w:rPr>
      </w:pPr>
      <w:r w:rsidRPr="00C75A38">
        <w:rPr>
          <w:rFonts w:ascii="Times New Roman" w:hAnsi="Times New Roman" w:cs="Times New Roman"/>
          <w:sz w:val="24"/>
          <w:lang w:val="en-US"/>
        </w:rPr>
        <w:t xml:space="preserve">René Descartes argues, however, that </w:t>
      </w:r>
      <w:r w:rsidR="00C75A38">
        <w:rPr>
          <w:rFonts w:ascii="Times New Roman" w:hAnsi="Times New Roman" w:cs="Times New Roman"/>
          <w:sz w:val="24"/>
          <w:lang w:val="en-US"/>
        </w:rPr>
        <w:t>the</w:t>
      </w:r>
      <w:r w:rsidRPr="00C75A38">
        <w:rPr>
          <w:rFonts w:ascii="Times New Roman" w:hAnsi="Times New Roman" w:cs="Times New Roman"/>
          <w:sz w:val="24"/>
          <w:lang w:val="en-US"/>
        </w:rPr>
        <w:t xml:space="preserve"> distinction between the real and the potential is limited to things that fall within our understanding. Considering deduction as an ordered sequence of intuitions, he did not treat reasoning about what is real or potential as a right way to justify </w:t>
      </w:r>
      <w:r w:rsidR="00D40B31">
        <w:rPr>
          <w:rFonts w:ascii="Times New Roman" w:hAnsi="Times New Roman" w:cs="Times New Roman"/>
          <w:sz w:val="24"/>
          <w:lang w:val="en-US"/>
        </w:rPr>
        <w:t>it</w:t>
      </w:r>
      <w:r w:rsidRPr="00C75A38">
        <w:rPr>
          <w:rFonts w:ascii="Times New Roman" w:hAnsi="Times New Roman" w:cs="Times New Roman"/>
          <w:sz w:val="24"/>
          <w:lang w:val="en-US"/>
        </w:rPr>
        <w:t>.</w:t>
      </w:r>
      <w:r w:rsidRPr="00B412DD">
        <w:rPr>
          <w:rFonts w:ascii="Times New Roman" w:hAnsi="Times New Roman" w:cs="Times New Roman"/>
          <w:sz w:val="24"/>
          <w:lang w:val="en-US"/>
        </w:rPr>
        <w:t xml:space="preserve"> </w:t>
      </w:r>
      <w:r w:rsidR="00C75A38">
        <w:rPr>
          <w:rFonts w:ascii="Times New Roman" w:hAnsi="Times New Roman" w:cs="Times New Roman"/>
          <w:sz w:val="24"/>
          <w:highlight w:val="yellow"/>
          <w:lang w:val="en-US"/>
        </w:rPr>
        <w:t xml:space="preserve"> </w:t>
      </w:r>
      <w:r w:rsidRPr="00C75A38">
        <w:rPr>
          <w:rFonts w:ascii="Times New Roman" w:hAnsi="Times New Roman" w:cs="Times New Roman"/>
          <w:sz w:val="24"/>
          <w:lang w:val="en-US"/>
        </w:rPr>
        <w:t xml:space="preserve">  </w:t>
      </w:r>
      <w:r w:rsidRPr="00B412DD">
        <w:rPr>
          <w:rFonts w:ascii="Times New Roman" w:hAnsi="Times New Roman" w:cs="Times New Roman"/>
          <w:sz w:val="24"/>
          <w:lang w:val="en-US"/>
        </w:rPr>
        <w:t>According to Immanuel Kant, general logic deals only with the possible, i.e., with what is consistent within the formal conditions of experience, while transcendental logic should correct and secure the power of judgement. Nevertheless</w:t>
      </w:r>
      <w:r w:rsidRPr="00C75A38">
        <w:rPr>
          <w:rFonts w:ascii="Times New Roman" w:hAnsi="Times New Roman" w:cs="Times New Roman"/>
          <w:sz w:val="24"/>
          <w:lang w:val="en-US"/>
        </w:rPr>
        <w:t xml:space="preserve">, </w:t>
      </w:r>
      <w:r w:rsidRPr="00B412DD">
        <w:rPr>
          <w:rFonts w:ascii="Times New Roman" w:hAnsi="Times New Roman" w:cs="Times New Roman"/>
          <w:sz w:val="24"/>
          <w:lang w:val="en-US"/>
        </w:rPr>
        <w:t>the</w:t>
      </w:r>
      <w:r w:rsidRPr="00C75A38">
        <w:rPr>
          <w:rFonts w:ascii="Times New Roman" w:hAnsi="Times New Roman" w:cs="Times New Roman"/>
          <w:sz w:val="24"/>
          <w:lang w:val="en-US"/>
        </w:rPr>
        <w:t xml:space="preserve"> </w:t>
      </w:r>
      <w:r w:rsidRPr="00B412DD">
        <w:rPr>
          <w:rFonts w:ascii="Times New Roman" w:hAnsi="Times New Roman" w:cs="Times New Roman"/>
          <w:sz w:val="24"/>
          <w:lang w:val="en-US"/>
        </w:rPr>
        <w:t>hypothesis</w:t>
      </w:r>
      <w:r w:rsidR="00C75A38">
        <w:rPr>
          <w:rFonts w:ascii="Times New Roman" w:hAnsi="Times New Roman" w:cs="Times New Roman"/>
          <w:sz w:val="24"/>
          <w:lang w:val="en-US"/>
        </w:rPr>
        <w:t xml:space="preserve"> that</w:t>
      </w:r>
      <w:r w:rsidRPr="00B412DD">
        <w:rPr>
          <w:rFonts w:ascii="Times New Roman" w:hAnsi="Times New Roman" w:cs="Times New Roman"/>
          <w:sz w:val="24"/>
          <w:lang w:val="en-US"/>
        </w:rPr>
        <w:t xml:space="preserve"> Kant’s logical taxonomy attempted to reconcile the </w:t>
      </w:r>
      <w:bookmarkStart w:id="2" w:name="_Hlk511479581"/>
      <w:r w:rsidRPr="00B412DD">
        <w:rPr>
          <w:rFonts w:ascii="Times New Roman" w:hAnsi="Times New Roman" w:cs="Times New Roman"/>
          <w:sz w:val="24"/>
          <w:lang w:val="en-US"/>
        </w:rPr>
        <w:t>substitutional</w:t>
      </w:r>
      <w:bookmarkEnd w:id="2"/>
      <w:r w:rsidRPr="00B412DD">
        <w:rPr>
          <w:rFonts w:ascii="Times New Roman" w:hAnsi="Times New Roman" w:cs="Times New Roman"/>
          <w:sz w:val="24"/>
          <w:lang w:val="en-US"/>
        </w:rPr>
        <w:t xml:space="preserve"> interpretation of formal consequences, dating back to Parisian medieval, and a formal analysis of the transcendental relations of objects of experience</w:t>
      </w:r>
      <w:r w:rsidRPr="00B412DD">
        <w:rPr>
          <w:rFonts w:ascii="Times" w:hAnsi="Times" w:cs="Times"/>
          <w:sz w:val="24"/>
          <w:lang w:val="en-US"/>
        </w:rPr>
        <w:t xml:space="preserve"> </w:t>
      </w:r>
      <w:r w:rsidRPr="00B412DD">
        <w:rPr>
          <w:rFonts w:ascii="Times New Roman" w:hAnsi="Times New Roman" w:cs="Times New Roman"/>
          <w:sz w:val="24"/>
          <w:lang w:val="en-US"/>
        </w:rPr>
        <w:t xml:space="preserve">is oversimplified.   Following Luciano Floridi (2017), I suggest considering transcendental logic not as a system of consequences equipped with ontologically grounded transcendental limitations, </w:t>
      </w:r>
      <w:r w:rsidRPr="00C75A38">
        <w:rPr>
          <w:rFonts w:ascii="Times New Roman" w:hAnsi="Times New Roman" w:cs="Times New Roman"/>
          <w:sz w:val="24"/>
          <w:lang w:val="en-US"/>
        </w:rPr>
        <w:t xml:space="preserve">but rather as inherited from modernity logic of </w:t>
      </w:r>
      <w:r w:rsidRPr="00C75A38">
        <w:rPr>
          <w:rFonts w:ascii="Times New Roman" w:hAnsi="Times New Roman" w:cs="Times New Roman"/>
          <w:i/>
          <w:sz w:val="24"/>
          <w:lang w:val="en-US"/>
        </w:rPr>
        <w:t>design</w:t>
      </w:r>
      <w:r w:rsidRPr="00C75A38">
        <w:rPr>
          <w:rFonts w:ascii="Times New Roman" w:hAnsi="Times New Roman" w:cs="Times New Roman"/>
          <w:sz w:val="24"/>
          <w:lang w:val="en-US"/>
        </w:rPr>
        <w:t>.</w:t>
      </w:r>
      <w:r w:rsidRPr="00B412DD">
        <w:rPr>
          <w:rFonts w:ascii="Times New Roman" w:hAnsi="Times New Roman" w:cs="Times New Roman"/>
          <w:sz w:val="24"/>
          <w:lang w:val="en-US"/>
        </w:rPr>
        <w:t xml:space="preserve"> In contrast, according to an enduring interpretation (van Benthem, 1985), Bernard Bolzano's use of various types of consequence anticipates Tarski's </w:t>
      </w:r>
      <w:r w:rsidRPr="00B412DD">
        <w:rPr>
          <w:rFonts w:ascii="Times New Roman" w:hAnsi="Times New Roman" w:cs="Times New Roman"/>
          <w:i/>
          <w:sz w:val="24"/>
          <w:lang w:val="en-US"/>
        </w:rPr>
        <w:t>model-theoretical</w:t>
      </w:r>
      <w:r w:rsidRPr="00B412DD">
        <w:rPr>
          <w:rFonts w:ascii="Times New Roman" w:hAnsi="Times New Roman" w:cs="Times New Roman"/>
          <w:sz w:val="24"/>
          <w:lang w:val="en-US"/>
        </w:rPr>
        <w:t xml:space="preserve"> definition of formal consequence. For Bolzano, all types of consequence are formal</w:t>
      </w:r>
      <w:r w:rsidRPr="00B412DD">
        <w:rPr>
          <w:rFonts w:ascii="Times" w:hAnsi="Times" w:cs="Times"/>
          <w:sz w:val="24"/>
          <w:lang w:val="en-US"/>
        </w:rPr>
        <w:t xml:space="preserve"> </w:t>
      </w:r>
      <w:r w:rsidRPr="00B412DD">
        <w:rPr>
          <w:rFonts w:ascii="Times New Roman" w:hAnsi="Times New Roman" w:cs="Times New Roman"/>
          <w:sz w:val="24"/>
          <w:lang w:val="en-US"/>
        </w:rPr>
        <w:t xml:space="preserve">in a broad sense, </w:t>
      </w:r>
      <w:r w:rsidR="00D40B31" w:rsidRPr="00D40B31">
        <w:rPr>
          <w:rFonts w:ascii="Times New Roman" w:hAnsi="Times New Roman" w:cs="Times New Roman"/>
          <w:sz w:val="24"/>
          <w:lang w:val="en-US"/>
        </w:rPr>
        <w:t xml:space="preserve">therefore his approach does not </w:t>
      </w:r>
      <w:r w:rsidR="00CE4E62">
        <w:rPr>
          <w:rFonts w:ascii="Times New Roman" w:hAnsi="Times New Roman" w:cs="Times New Roman"/>
          <w:sz w:val="24"/>
          <w:lang w:val="en-US"/>
        </w:rPr>
        <w:t xml:space="preserve">concern the </w:t>
      </w:r>
      <w:r w:rsidR="00CE4E62" w:rsidRPr="00B412DD">
        <w:rPr>
          <w:rFonts w:ascii="Times" w:hAnsi="Times" w:cs="Times"/>
          <w:sz w:val="24"/>
          <w:lang w:val="en-US"/>
        </w:rPr>
        <w:t>dichotomy</w:t>
      </w:r>
      <w:r w:rsidR="00CE4E62">
        <w:rPr>
          <w:rFonts w:ascii="Times New Roman" w:hAnsi="Times New Roman" w:cs="Times New Roman"/>
          <w:sz w:val="24"/>
          <w:lang w:val="en-US"/>
        </w:rPr>
        <w:t xml:space="preserve"> </w:t>
      </w:r>
      <w:r w:rsidR="00CE4E62" w:rsidRPr="00CE4E62">
        <w:rPr>
          <w:rFonts w:ascii="Times New Roman" w:hAnsi="Times New Roman" w:cs="Times New Roman"/>
          <w:sz w:val="24"/>
          <w:lang w:val="en-US"/>
        </w:rPr>
        <w:t xml:space="preserve">between </w:t>
      </w:r>
      <w:r w:rsidR="00D40B31" w:rsidRPr="00D40B31">
        <w:rPr>
          <w:rFonts w:ascii="Times New Roman" w:hAnsi="Times New Roman" w:cs="Times New Roman"/>
          <w:sz w:val="24"/>
          <w:lang w:val="en-US"/>
        </w:rPr>
        <w:t>formal and material consequences</w:t>
      </w:r>
      <w:r w:rsidR="00CE4E62" w:rsidRPr="00CE4E62">
        <w:rPr>
          <w:rFonts w:ascii="Times New Roman" w:hAnsi="Times New Roman" w:cs="Times New Roman"/>
          <w:sz w:val="24"/>
          <w:lang w:val="en-US"/>
        </w:rPr>
        <w:t xml:space="preserve">. </w:t>
      </w:r>
      <w:r w:rsidR="00CE4E62">
        <w:rPr>
          <w:rFonts w:ascii="Times New Roman" w:hAnsi="Times New Roman" w:cs="Times New Roman"/>
          <w:sz w:val="24"/>
          <w:lang w:val="en-US"/>
        </w:rPr>
        <w:t>H</w:t>
      </w:r>
      <w:r w:rsidR="00CE4E62" w:rsidRPr="00CE4E62">
        <w:rPr>
          <w:rFonts w:ascii="Times New Roman" w:hAnsi="Times New Roman" w:cs="Times New Roman"/>
          <w:sz w:val="24"/>
          <w:lang w:val="en-US"/>
        </w:rPr>
        <w:t>owever,</w:t>
      </w:r>
      <w:r w:rsidR="00CE4E62">
        <w:rPr>
          <w:rFonts w:ascii="Times New Roman" w:hAnsi="Times New Roman" w:cs="Times New Roman"/>
          <w:sz w:val="24"/>
          <w:lang w:val="en-US"/>
        </w:rPr>
        <w:t xml:space="preserve"> </w:t>
      </w:r>
      <w:r w:rsidRPr="00B412DD">
        <w:rPr>
          <w:rFonts w:ascii="Times New Roman" w:hAnsi="Times New Roman" w:cs="Times New Roman"/>
          <w:sz w:val="24"/>
          <w:lang w:val="en-US"/>
        </w:rPr>
        <w:t xml:space="preserve">his </w:t>
      </w:r>
      <w:r w:rsidR="006E717C">
        <w:rPr>
          <w:rFonts w:ascii="Times New Roman" w:hAnsi="Times New Roman" w:cs="Times New Roman"/>
          <w:sz w:val="24"/>
          <w:lang w:val="en-US"/>
        </w:rPr>
        <w:t>concept</w:t>
      </w:r>
      <w:r w:rsidR="00C75A38">
        <w:rPr>
          <w:rFonts w:ascii="Times New Roman" w:hAnsi="Times New Roman" w:cs="Times New Roman"/>
          <w:sz w:val="24"/>
          <w:lang w:val="en-US"/>
        </w:rPr>
        <w:t xml:space="preserve"> of </w:t>
      </w:r>
      <w:r w:rsidRPr="00B412DD">
        <w:rPr>
          <w:rFonts w:ascii="Times New Roman" w:hAnsi="Times New Roman" w:cs="Times New Roman"/>
          <w:i/>
          <w:sz w:val="24"/>
          <w:lang w:val="en-US"/>
        </w:rPr>
        <w:t>grounding</w:t>
      </w:r>
      <w:r w:rsidRPr="00B412DD">
        <w:rPr>
          <w:rFonts w:ascii="Times New Roman" w:hAnsi="Times New Roman" w:cs="Times New Roman"/>
          <w:sz w:val="24"/>
          <w:lang w:val="en-US"/>
        </w:rPr>
        <w:t xml:space="preserve"> may contribute to non-psychological, i.e. </w:t>
      </w:r>
      <w:r w:rsidRPr="00B412DD">
        <w:rPr>
          <w:rFonts w:ascii="Times New Roman" w:hAnsi="Times New Roman" w:cs="Times New Roman"/>
          <w:i/>
          <w:sz w:val="24"/>
          <w:lang w:val="en-US"/>
        </w:rPr>
        <w:t>proof-theoretical</w:t>
      </w:r>
      <w:r w:rsidRPr="00B412DD">
        <w:rPr>
          <w:rFonts w:ascii="Times New Roman" w:hAnsi="Times New Roman" w:cs="Times New Roman"/>
          <w:sz w:val="24"/>
          <w:lang w:val="en-US"/>
        </w:rPr>
        <w:t xml:space="preserve"> perspective </w:t>
      </w:r>
      <w:r w:rsidR="00C75A38" w:rsidRPr="00C75A38">
        <w:rPr>
          <w:rFonts w:ascii="Times New Roman" w:hAnsi="Times New Roman" w:cs="Times New Roman"/>
          <w:sz w:val="24"/>
          <w:lang w:val="en-US"/>
        </w:rPr>
        <w:t>(</w:t>
      </w:r>
      <w:proofErr w:type="spellStart"/>
      <w:r w:rsidR="00C75A38" w:rsidRPr="00C75A38">
        <w:rPr>
          <w:rFonts w:ascii="Times New Roman" w:hAnsi="Times New Roman" w:cs="Times New Roman"/>
          <w:sz w:val="24"/>
          <w:lang w:val="en-US"/>
        </w:rPr>
        <w:t>Prawitz</w:t>
      </w:r>
      <w:proofErr w:type="spellEnd"/>
      <w:r w:rsidR="00C75A38" w:rsidRPr="00C75A38">
        <w:rPr>
          <w:rFonts w:ascii="Times New Roman" w:hAnsi="Times New Roman" w:cs="Times New Roman"/>
          <w:sz w:val="24"/>
          <w:lang w:val="en-US"/>
        </w:rPr>
        <w:t xml:space="preserve"> 2009; Fine, 2012)</w:t>
      </w:r>
      <w:r w:rsidR="00C75A38">
        <w:rPr>
          <w:rFonts w:ascii="Times New Roman" w:hAnsi="Times New Roman" w:cs="Times New Roman"/>
          <w:sz w:val="24"/>
          <w:lang w:val="en-US"/>
        </w:rPr>
        <w:t xml:space="preserve"> </w:t>
      </w:r>
      <w:r w:rsidR="006E717C">
        <w:rPr>
          <w:rFonts w:ascii="Times New Roman" w:hAnsi="Times New Roman" w:cs="Times New Roman"/>
          <w:sz w:val="24"/>
          <w:lang w:val="en-US"/>
        </w:rPr>
        <w:t xml:space="preserve">on </w:t>
      </w:r>
      <w:r w:rsidR="00C75A38">
        <w:rPr>
          <w:rFonts w:ascii="Times New Roman" w:hAnsi="Times New Roman" w:cs="Times New Roman"/>
          <w:sz w:val="24"/>
          <w:lang w:val="en-US"/>
        </w:rPr>
        <w:t>formal</w:t>
      </w:r>
      <w:r w:rsidRPr="00B412DD">
        <w:rPr>
          <w:rFonts w:ascii="Times New Roman" w:hAnsi="Times New Roman" w:cs="Times New Roman"/>
          <w:sz w:val="24"/>
          <w:lang w:val="en-US"/>
        </w:rPr>
        <w:t xml:space="preserve"> understanding </w:t>
      </w:r>
      <w:r w:rsidR="006E717C">
        <w:rPr>
          <w:rFonts w:ascii="Times New Roman" w:hAnsi="Times New Roman" w:cs="Times New Roman"/>
          <w:sz w:val="24"/>
          <w:lang w:val="en-US"/>
        </w:rPr>
        <w:t xml:space="preserve">in </w:t>
      </w:r>
      <w:r w:rsidR="006E717C" w:rsidRPr="006E717C">
        <w:rPr>
          <w:rFonts w:ascii="Times New Roman" w:hAnsi="Times New Roman" w:cs="Times New Roman"/>
          <w:sz w:val="24"/>
          <w:lang w:val="en-US"/>
        </w:rPr>
        <w:t>consequence</w:t>
      </w:r>
      <w:r w:rsidR="006E717C">
        <w:rPr>
          <w:rFonts w:ascii="Times New Roman" w:hAnsi="Times New Roman" w:cs="Times New Roman"/>
          <w:sz w:val="24"/>
          <w:lang w:val="en-US"/>
        </w:rPr>
        <w:t>s.</w:t>
      </w:r>
    </w:p>
    <w:p w14:paraId="25B501C3" w14:textId="77777777" w:rsidR="00AF7772" w:rsidRPr="00B412DD" w:rsidRDefault="00B412DD">
      <w:pPr>
        <w:rPr>
          <w:lang w:val="en-US"/>
        </w:rPr>
      </w:pPr>
      <w:r w:rsidRPr="00B412DD">
        <w:rPr>
          <w:rFonts w:ascii="Times New Roman" w:hAnsi="Times New Roman" w:cs="Times New Roman"/>
          <w:i/>
          <w:sz w:val="24"/>
          <w:lang w:val="en-US"/>
        </w:rPr>
        <w:t>Keywords:</w:t>
      </w:r>
      <w:r w:rsidRPr="00B412DD">
        <w:rPr>
          <w:rFonts w:ascii="Times New Roman" w:hAnsi="Times New Roman" w:cs="Times New Roman"/>
          <w:sz w:val="24"/>
          <w:lang w:val="en-US"/>
        </w:rPr>
        <w:t xml:space="preserve"> material consequence, formal conseque</w:t>
      </w:r>
      <w:bookmarkStart w:id="3" w:name="_GoBack"/>
      <w:bookmarkEnd w:id="3"/>
      <w:r w:rsidRPr="00B412DD">
        <w:rPr>
          <w:rFonts w:ascii="Times New Roman" w:hAnsi="Times New Roman" w:cs="Times New Roman"/>
          <w:sz w:val="24"/>
          <w:lang w:val="en-US"/>
        </w:rPr>
        <w:t>nce,</w:t>
      </w:r>
      <w:r w:rsidRPr="00B412DD">
        <w:rPr>
          <w:rFonts w:ascii="Times" w:hAnsi="Times" w:cs="Times"/>
          <w:sz w:val="24"/>
          <w:lang w:val="en-US"/>
        </w:rPr>
        <w:t xml:space="preserve"> </w:t>
      </w:r>
      <w:r w:rsidRPr="00B412DD">
        <w:rPr>
          <w:rFonts w:ascii="Times New Roman" w:hAnsi="Times New Roman" w:cs="Times New Roman"/>
          <w:sz w:val="24"/>
          <w:lang w:val="en-US"/>
        </w:rPr>
        <w:t>internal relation, grounding, design.</w:t>
      </w:r>
    </w:p>
    <w:sectPr w:rsidR="00AF7772" w:rsidRPr="00B412DD">
      <w:pgSz w:w="11900" w:h="16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F7772"/>
    <w:rsid w:val="00140787"/>
    <w:rsid w:val="003912AF"/>
    <w:rsid w:val="006E717C"/>
    <w:rsid w:val="00AF7772"/>
    <w:rsid w:val="00B412DD"/>
    <w:rsid w:val="00B9218D"/>
    <w:rsid w:val="00C06E27"/>
    <w:rsid w:val="00C61C95"/>
    <w:rsid w:val="00C75A38"/>
    <w:rsid w:val="00C81880"/>
    <w:rsid w:val="00CE4E62"/>
    <w:rsid w:val="00D40B31"/>
    <w:rsid w:val="00D633B7"/>
    <w:rsid w:val="00FE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FE24"/>
  <w15:docId w15:val="{778342FB-B100-4645-84A7-D44241C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C1B0AA32-C376-490B-B660-F673119A23A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2018-11-16T09:17:00Z</cp:lastPrinted>
  <dcterms:created xsi:type="dcterms:W3CDTF">2018-11-16T09:16:00Z</dcterms:created>
  <dcterms:modified xsi:type="dcterms:W3CDTF">2018-11-16T09:17:00Z</dcterms:modified>
</cp:coreProperties>
</file>