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341" w:type="dxa"/>
        <w:tblInd w:w="-1168" w:type="dxa"/>
        <w:tblLook w:val="04A0" w:firstRow="1" w:lastRow="0" w:firstColumn="1" w:lastColumn="0" w:noHBand="0" w:noVBand="1"/>
      </w:tblPr>
      <w:tblGrid>
        <w:gridCol w:w="5953"/>
        <w:gridCol w:w="5388"/>
      </w:tblGrid>
      <w:tr w:rsidR="006638AD" w:rsidTr="006638AD">
        <w:tc>
          <w:tcPr>
            <w:tcW w:w="5953" w:type="dxa"/>
          </w:tcPr>
          <w:p w:rsidR="006638AD" w:rsidRDefault="006638AD" w:rsidP="00F1697C">
            <w:pPr>
              <w:jc w:val="center"/>
            </w:pPr>
            <w:r w:rsidRPr="002E6B4A">
              <w:rPr>
                <w:highlight w:val="green"/>
              </w:rPr>
              <w:t xml:space="preserve">Статьи, по которым </w:t>
            </w:r>
            <w:r w:rsidRPr="002E6B4A">
              <w:rPr>
                <w:b/>
                <w:sz w:val="24"/>
                <w:szCs w:val="24"/>
                <w:highlight w:val="green"/>
              </w:rPr>
              <w:t>возможн</w:t>
            </w:r>
            <w:r w:rsidR="00F1697C" w:rsidRPr="002E6B4A">
              <w:rPr>
                <w:b/>
                <w:sz w:val="24"/>
                <w:szCs w:val="24"/>
                <w:highlight w:val="green"/>
              </w:rPr>
              <w:t>а</w:t>
            </w:r>
            <w:r w:rsidRPr="002E6B4A">
              <w:rPr>
                <w:highlight w:val="green"/>
              </w:rPr>
              <w:t xml:space="preserve"> оплата из средств Комиссии или ППК</w:t>
            </w:r>
          </w:p>
        </w:tc>
        <w:tc>
          <w:tcPr>
            <w:tcW w:w="5388" w:type="dxa"/>
          </w:tcPr>
          <w:p w:rsidR="006638AD" w:rsidRDefault="006638AD" w:rsidP="00F1697C">
            <w:pPr>
              <w:jc w:val="center"/>
            </w:pPr>
            <w:r w:rsidRPr="002E6B4A">
              <w:rPr>
                <w:highlight w:val="yellow"/>
              </w:rPr>
              <w:t xml:space="preserve">Статьи, по которым </w:t>
            </w:r>
            <w:r w:rsidRPr="002E6B4A">
              <w:rPr>
                <w:b/>
                <w:sz w:val="24"/>
                <w:szCs w:val="24"/>
                <w:highlight w:val="yellow"/>
              </w:rPr>
              <w:t>не возможна</w:t>
            </w:r>
            <w:r w:rsidRPr="002E6B4A">
              <w:rPr>
                <w:highlight w:val="yellow"/>
              </w:rPr>
              <w:t xml:space="preserve"> оплата из средств Комиссии или ППК, возможна из любых других источников</w:t>
            </w:r>
          </w:p>
        </w:tc>
      </w:tr>
      <w:tr w:rsidR="006638AD" w:rsidTr="006638AD">
        <w:tc>
          <w:tcPr>
            <w:tcW w:w="5953" w:type="dxa"/>
          </w:tcPr>
          <w:p w:rsidR="006638AD" w:rsidRDefault="006638AD" w:rsidP="006638AD">
            <w:pPr>
              <w:pStyle w:val="a5"/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4.1.1. Статья расходов «Проезд»: авиа- и железнодорожные билеты экономического класса.</w:t>
            </w:r>
          </w:p>
          <w:p w:rsidR="006638AD" w:rsidRDefault="006638AD" w:rsidP="006638AD">
            <w:pPr>
              <w:pStyle w:val="a5"/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4.1.2. Статья расходов «Оплата приглашений иностранных участников»: 800 рублей/УФМС;</w:t>
            </w:r>
          </w:p>
          <w:p w:rsidR="006638AD" w:rsidRDefault="006638AD" w:rsidP="006638AD">
            <w:pPr>
              <w:pStyle w:val="a5"/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4.1.3. Статья расходов «Оплата питания:</w:t>
            </w:r>
          </w:p>
          <w:p w:rsidR="006638AD" w:rsidRDefault="006638AD" w:rsidP="006638AD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кофе-брейк (не более двух в день проведения мероприятия) стоимостью до 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704A87" w:rsidRPr="0070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рублей/чел.</w:t>
            </w:r>
          </w:p>
          <w:p w:rsidR="006638AD" w:rsidRDefault="006638AD" w:rsidP="006638AD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обед (не более одного в день проведения мероприятия) стоимостью до 5</w:t>
            </w:r>
            <w:r w:rsidR="00704A87" w:rsidRPr="00704A8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рублей/чел.</w:t>
            </w:r>
          </w:p>
          <w:p w:rsidR="006638AD" w:rsidRDefault="006638AD" w:rsidP="006638AD">
            <w:pPr>
              <w:pStyle w:val="a5"/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4.1.4. Статья расходов «Оплата проживания участников»: (не более, чем за день до начала Мероприятия, и день, следующий за его окончанием):</w:t>
            </w:r>
          </w:p>
          <w:p w:rsidR="006638AD" w:rsidRDefault="006638AD" w:rsidP="006638AD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Москвы – до 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рублей/сутки (если не Профессорская гостиница);</w:t>
            </w:r>
          </w:p>
          <w:p w:rsidR="006638AD" w:rsidRDefault="006638AD" w:rsidP="006638A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Санкт-Петербурга – до 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000 рублей/сутки (если не Профессорская гостиница); </w:t>
            </w:r>
          </w:p>
          <w:p w:rsidR="006638AD" w:rsidRDefault="006638AD" w:rsidP="006638AD">
            <w:pPr>
              <w:pStyle w:val="a5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Нижнего Новгорода и Перми – до 4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рублей/сутки (если не Профессорская гостиница);</w:t>
            </w:r>
          </w:p>
          <w:p w:rsidR="006638AD" w:rsidRDefault="006638AD" w:rsidP="006638AD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4.1.5. Статья расходов «Оплата трансфера» (только для ключевых участников):</w:t>
            </w:r>
          </w:p>
          <w:p w:rsidR="006638AD" w:rsidRDefault="006638AD" w:rsidP="006638AD">
            <w:pPr>
              <w:pStyle w:val="a5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аэропорт-отель-аэропорт – до 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рублей/чел.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(для Москвы), до 5000 рублей/чел. (для Санкт-Петербурга), до 3000 рублей/чел. (для Нижнего Новгорода и Перми)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6638AD" w:rsidRPr="006638AD" w:rsidRDefault="006638AD" w:rsidP="006638AD">
            <w:pPr>
              <w:pStyle w:val="a5"/>
              <w:numPr>
                <w:ilvl w:val="0"/>
                <w:numId w:val="3"/>
              </w:numPr>
              <w:ind w:hanging="54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8A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аэроэкспресс из аэропорта/в аэропорт;</w:t>
            </w:r>
          </w:p>
          <w:p w:rsidR="006638AD" w:rsidRDefault="006638AD" w:rsidP="006638AD">
            <w:pPr>
              <w:ind w:firstLine="7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4.1.6. Статья расходов «Печать программы»: 1 тираж, до 1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158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рублей.</w:t>
            </w:r>
          </w:p>
          <w:p w:rsidR="00F6633B" w:rsidRDefault="00F6633B" w:rsidP="006638AD">
            <w:pPr>
              <w:ind w:firstLine="7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4.1.7. Оплата труда переводчиков-синхронистов.</w:t>
            </w:r>
          </w:p>
          <w:p w:rsidR="006638AD" w:rsidRPr="00F6633B" w:rsidRDefault="00F6633B" w:rsidP="00F6633B">
            <w:pPr>
              <w:ind w:firstLine="74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4.1.8. Письменные переводы материалов.</w:t>
            </w:r>
          </w:p>
        </w:tc>
        <w:tc>
          <w:tcPr>
            <w:tcW w:w="5388" w:type="dxa"/>
          </w:tcPr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4.3.1. Организация ужина, фуршета, банкета и других  заключительных и приветственных вечерних Мероприятий;</w:t>
            </w:r>
          </w:p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  <w:r w:rsidR="00F66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Публикация материалов (доклады, сборники трудов и  т.п.);</w:t>
            </w:r>
          </w:p>
          <w:p w:rsidR="00F1697C" w:rsidRDefault="00F6633B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4.3.3</w:t>
            </w:r>
            <w:r w:rsidR="00F16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Оплата издания и тиражирования материалов к Мероприятию/по итогам проведения Мероприятия;</w:t>
            </w:r>
          </w:p>
          <w:p w:rsidR="00F1697C" w:rsidRDefault="00F6633B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4.3.4.</w:t>
            </w:r>
            <w:r w:rsidR="00F16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Оплата услуг по редактированию и верстке сборников и программы;</w:t>
            </w:r>
          </w:p>
          <w:p w:rsidR="00F1697C" w:rsidRDefault="00F6633B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4.3.5</w:t>
            </w:r>
            <w:r w:rsidR="00F16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Оплата труда работников НИУ ВШЭ, привлеченного персонала, ответственных за организацию и проведение Мероприятия (в том числе рабочие группы, организационные и программные комитеты);</w:t>
            </w:r>
          </w:p>
          <w:p w:rsidR="00F1697C" w:rsidRDefault="00F6633B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4.3.6</w:t>
            </w:r>
            <w:r w:rsidR="00F16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Организация культурной программы;</w:t>
            </w:r>
          </w:p>
          <w:p w:rsidR="00F1697C" w:rsidRDefault="00F6633B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4.3.7</w:t>
            </w:r>
            <w:r w:rsidR="00F1697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Оплата гонораров участникам Мероприятий;</w:t>
            </w:r>
          </w:p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  <w:r w:rsidR="00F66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Оплата виз участникам Мероприятий;</w:t>
            </w:r>
          </w:p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</w:t>
            </w:r>
            <w:r w:rsidR="00F66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Компенсация консульского сбора участникам Мероприятий;</w:t>
            </w:r>
          </w:p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  <w:r w:rsidR="00F66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Разработка логотипа, дизайна сайта Мероприятия;</w:t>
            </w:r>
          </w:p>
          <w:p w:rsidR="00F1697C" w:rsidRDefault="00F1697C" w:rsidP="00F1697C">
            <w:pPr>
              <w:pStyle w:val="a5"/>
              <w:ind w:left="0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4.3.1</w:t>
            </w:r>
            <w:r w:rsidR="00F663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Оплата командировочных расходов работникам НИУ ВШЭ (Москва и филиалы), выезжающим в командировки для участия в Мероприятии.</w:t>
            </w:r>
          </w:p>
          <w:p w:rsidR="006638AD" w:rsidRDefault="006638AD"/>
        </w:tc>
      </w:tr>
    </w:tbl>
    <w:p w:rsidR="007E59DF" w:rsidRPr="007E59DF" w:rsidRDefault="007E59DF" w:rsidP="007E59DF">
      <w:pPr>
        <w:pStyle w:val="a5"/>
        <w:ind w:left="11"/>
        <w:jc w:val="both"/>
      </w:pPr>
    </w:p>
    <w:p w:rsidR="006638AD" w:rsidRPr="006638AD" w:rsidRDefault="006638AD" w:rsidP="00B10014">
      <w:pPr>
        <w:pStyle w:val="a5"/>
        <w:numPr>
          <w:ilvl w:val="0"/>
          <w:numId w:val="4"/>
        </w:numPr>
        <w:jc w:val="both"/>
      </w:pPr>
      <w:r w:rsidRPr="006638AD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Возмещение по выше изложенным статьям расходов из </w:t>
      </w:r>
      <w:r w:rsidR="00B10014">
        <w:rPr>
          <w:rFonts w:ascii="Times New Roman" w:hAnsi="Times New Roman"/>
          <w:bCs/>
          <w:sz w:val="26"/>
          <w:szCs w:val="26"/>
        </w:rPr>
        <w:t>средств комиссии или</w:t>
      </w:r>
      <w:r w:rsidRPr="006638AD">
        <w:rPr>
          <w:rFonts w:ascii="Times New Roman" w:hAnsi="Times New Roman"/>
          <w:bCs/>
          <w:sz w:val="26"/>
          <w:szCs w:val="26"/>
        </w:rPr>
        <w:t xml:space="preserve"> средств ФАР</w:t>
      </w:r>
      <w:r w:rsidRPr="006638AD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факту приобретения/оказания услуги невозможно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638AD" w:rsidRPr="006A556D" w:rsidRDefault="00F1697C" w:rsidP="00B10014">
      <w:pPr>
        <w:pStyle w:val="a5"/>
        <w:numPr>
          <w:ilvl w:val="0"/>
          <w:numId w:val="4"/>
        </w:numPr>
        <w:jc w:val="both"/>
        <w:rPr>
          <w:rFonts w:ascii="Times New Roman" w:hAnsi="Times New Roman"/>
          <w:bCs/>
          <w:sz w:val="26"/>
          <w:szCs w:val="26"/>
          <w:highlight w:val="cyan"/>
        </w:rPr>
      </w:pPr>
      <w:bookmarkStart w:id="0" w:name="_GoBack"/>
      <w:r w:rsidRPr="006A556D">
        <w:rPr>
          <w:rFonts w:ascii="Times New Roman" w:hAnsi="Times New Roman"/>
          <w:bCs/>
          <w:sz w:val="26"/>
          <w:szCs w:val="26"/>
          <w:highlight w:val="cyan"/>
        </w:rPr>
        <w:t>В случае, если со стороны Инициатора подтверждена необходимость приобретения авиа-, железнодорожных билетов и/или бронирования гостиницы, и данные услуги оплачены НИУ ВШЭ, то любое действие Инициатора, связанное с изменением состава участников (отмена, дополнительная покупка, изменение сроков поездки), влечет за собой дополнительные расходы, оплата которых осуществляется за счет средств Инициатора</w:t>
      </w:r>
      <w:bookmarkEnd w:id="0"/>
      <w:r w:rsidRPr="006A556D">
        <w:rPr>
          <w:rFonts w:ascii="Times New Roman" w:hAnsi="Times New Roman"/>
          <w:bCs/>
          <w:sz w:val="26"/>
          <w:szCs w:val="26"/>
          <w:highlight w:val="cyan"/>
        </w:rPr>
        <w:t>.</w:t>
      </w:r>
    </w:p>
    <w:p w:rsidR="006624E4" w:rsidRPr="001158BF" w:rsidRDefault="00F1697C" w:rsidP="007E59DF">
      <w:pPr>
        <w:pStyle w:val="a5"/>
        <w:numPr>
          <w:ilvl w:val="0"/>
          <w:numId w:val="4"/>
        </w:numPr>
        <w:jc w:val="both"/>
      </w:pPr>
      <w:r w:rsidRPr="007E59DF">
        <w:rPr>
          <w:rFonts w:ascii="Times New Roman" w:hAnsi="Times New Roman"/>
          <w:bCs/>
          <w:sz w:val="26"/>
          <w:szCs w:val="26"/>
        </w:rPr>
        <w:t>Если решение по заявке принималось комиссией факультета, то и решение о полном или частичном перераспределение сре</w:t>
      </w:r>
      <w:proofErr w:type="gramStart"/>
      <w:r w:rsidRPr="007E59DF">
        <w:rPr>
          <w:rFonts w:ascii="Times New Roman" w:hAnsi="Times New Roman"/>
          <w:bCs/>
          <w:sz w:val="26"/>
          <w:szCs w:val="26"/>
        </w:rPr>
        <w:t>дств пр</w:t>
      </w:r>
      <w:proofErr w:type="gramEnd"/>
      <w:r w:rsidRPr="007E59DF">
        <w:rPr>
          <w:rFonts w:ascii="Times New Roman" w:hAnsi="Times New Roman"/>
          <w:bCs/>
          <w:sz w:val="26"/>
          <w:szCs w:val="26"/>
        </w:rPr>
        <w:t>инимают они на своем уровне.</w:t>
      </w:r>
    </w:p>
    <w:p w:rsidR="001158BF" w:rsidRPr="002956D2" w:rsidRDefault="001158BF" w:rsidP="007E59DF">
      <w:pPr>
        <w:pStyle w:val="a5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Конференц-пакет «Стандарт»: презентационная продукция с использованием логотипа НИУ ВШЭ (включает в себя блокнот, ручку, бейдж и папку).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Конференц-пакет «Стандарт» выдается по требованию Инициатора работником Управления </w:t>
      </w:r>
      <w:r w:rsidR="006225A9">
        <w:rPr>
          <w:rFonts w:ascii="Times New Roman" w:eastAsia="Times New Roman" w:hAnsi="Times New Roman"/>
          <w:sz w:val="26"/>
          <w:szCs w:val="26"/>
          <w:lang w:eastAsia="ru-RU"/>
        </w:rPr>
        <w:t xml:space="preserve">по организации и сопровождению мероприятий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основании служебной записки за подписью руководителя Инициатора (в том числе для структурных подразделений факультета/филиала НИУ ВШЭ), в случае, если проведение научного мероприятия поддержано научной комиссией факультета или Комиссией по рассмотрению заявок на проведение и/или финансовую поддержку конференций, семинаров, симпозиумов и других научных мероприятий НИУ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ВШЭ, и в соответствии с количеством участников, указанном в приложениях План и/или Смета к приказу о проведении мероприятия. Любая другая презентационная продукция, не входящая в конференц-пакет «Стандарт» или отличная от него, приобретается из прочих источников финансирования посредством обращения в Дирекцию по связям с общественностью и информационным ресурсам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2956D2" w:rsidRPr="002956D2" w:rsidRDefault="002956D2" w:rsidP="007E59DF">
      <w:pPr>
        <w:pStyle w:val="a5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проведения научного мероприятия в учебном центре «Вороново» НИУ ВШЭ Инициатору разрешить оплату полного питания участников мероприятия из средств ФАР или средств от приносящей доход деятельности, предусмотренных на проведение Мероприятий в финансовом плане НИУ ВШЭ на календарный год. </w:t>
      </w:r>
    </w:p>
    <w:p w:rsidR="002956D2" w:rsidRDefault="002956D2" w:rsidP="007E59DF">
      <w:pPr>
        <w:pStyle w:val="a5"/>
        <w:numPr>
          <w:ilvl w:val="0"/>
          <w:numId w:val="4"/>
        </w:numPr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Мероприятия на площадке НИУ ВШЭ, не оборудованной помещением для организации питания, предусмотреть возможность его организации силами внешнего кейтеринга с увеличенной от выше указанных тарифов стоимостью на человека и внесением расходов в смету Мероприятия.</w:t>
      </w:r>
    </w:p>
    <w:sectPr w:rsidR="002956D2" w:rsidSect="007E59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EF1"/>
    <w:multiLevelType w:val="hybridMultilevel"/>
    <w:tmpl w:val="97C031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7637258"/>
    <w:multiLevelType w:val="hybridMultilevel"/>
    <w:tmpl w:val="8C26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EB1912"/>
    <w:multiLevelType w:val="hybridMultilevel"/>
    <w:tmpl w:val="16B44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3D5AE2"/>
    <w:multiLevelType w:val="hybridMultilevel"/>
    <w:tmpl w:val="7B3C2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E4"/>
    <w:rsid w:val="001158BF"/>
    <w:rsid w:val="002956D2"/>
    <w:rsid w:val="002E6B4A"/>
    <w:rsid w:val="006225A9"/>
    <w:rsid w:val="006624E4"/>
    <w:rsid w:val="006638AD"/>
    <w:rsid w:val="006A556D"/>
    <w:rsid w:val="00704A87"/>
    <w:rsid w:val="007E59DF"/>
    <w:rsid w:val="00A555E1"/>
    <w:rsid w:val="00B10014"/>
    <w:rsid w:val="00CF756F"/>
    <w:rsid w:val="00F1697C"/>
    <w:rsid w:val="00F6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4E4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624E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624E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24E4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6624E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624E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15</cp:revision>
  <dcterms:created xsi:type="dcterms:W3CDTF">2015-09-07T14:25:00Z</dcterms:created>
  <dcterms:modified xsi:type="dcterms:W3CDTF">2020-02-10T16:36:00Z</dcterms:modified>
</cp:coreProperties>
</file>